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36FC1" w14:textId="77777777" w:rsidR="00293A72" w:rsidRPr="00655618" w:rsidRDefault="009641E3" w:rsidP="006C668D">
      <w:pPr>
        <w:pStyle w:val="Heading1"/>
        <w:spacing w:before="0"/>
        <w:rPr>
          <w:rFonts w:cs="Arial"/>
        </w:rPr>
      </w:pPr>
      <w:r w:rsidRPr="00655618">
        <w:rPr>
          <w:rFonts w:cs="Arial"/>
        </w:rPr>
        <w:t>Decision Notice</w:t>
      </w:r>
    </w:p>
    <w:p w14:paraId="07F36FC2" w14:textId="1042DD4B"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14:paraId="07F36FC3" w14:textId="0EA53745"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D33764" w:rsidRPr="00655618">
        <w:rPr>
          <w:rFonts w:cs="Arial"/>
        </w:rPr>
        <w:t>Beachfront Hotel</w:t>
      </w:r>
    </w:p>
    <w:p w14:paraId="0ABCF8E6" w14:textId="55909AEC" w:rsidR="00D33764" w:rsidRPr="00655618" w:rsidRDefault="00D33764" w:rsidP="00D33764">
      <w:pPr>
        <w:pStyle w:val="Tabformatting"/>
        <w:spacing w:after="0"/>
        <w:rPr>
          <w:rFonts w:cs="Arial"/>
        </w:rPr>
      </w:pPr>
      <w:r w:rsidRPr="00655618">
        <w:rPr>
          <w:rFonts w:cs="Arial"/>
        </w:rPr>
        <w:tab/>
        <w:t>342 Casuarina Drive</w:t>
      </w:r>
    </w:p>
    <w:p w14:paraId="61DC2552" w14:textId="78F7CB77" w:rsidR="00D33764" w:rsidRPr="00655618" w:rsidRDefault="00D33764" w:rsidP="001620E9">
      <w:pPr>
        <w:pStyle w:val="Tabformatting"/>
        <w:rPr>
          <w:rFonts w:cs="Arial"/>
        </w:rPr>
      </w:pPr>
      <w:r w:rsidRPr="00655618">
        <w:rPr>
          <w:rFonts w:cs="Arial"/>
        </w:rPr>
        <w:tab/>
      </w:r>
      <w:proofErr w:type="gramStart"/>
      <w:r w:rsidRPr="00655618">
        <w:rPr>
          <w:rFonts w:cs="Arial"/>
        </w:rPr>
        <w:t xml:space="preserve">Nightcliff </w:t>
      </w:r>
      <w:r w:rsidR="00512F0E">
        <w:rPr>
          <w:rFonts w:cs="Arial"/>
        </w:rPr>
        <w:t xml:space="preserve"> </w:t>
      </w:r>
      <w:r w:rsidRPr="00655618">
        <w:rPr>
          <w:rFonts w:cs="Arial"/>
        </w:rPr>
        <w:t>NT</w:t>
      </w:r>
      <w:proofErr w:type="gramEnd"/>
      <w:r w:rsidR="00512F0E">
        <w:rPr>
          <w:rFonts w:cs="Arial"/>
        </w:rPr>
        <w:t xml:space="preserve"> </w:t>
      </w:r>
      <w:r w:rsidRPr="00655618">
        <w:rPr>
          <w:rFonts w:cs="Arial"/>
        </w:rPr>
        <w:t xml:space="preserve"> 0820</w:t>
      </w:r>
    </w:p>
    <w:p w14:paraId="07F36FC4" w14:textId="05C3E046"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D33764" w:rsidRPr="00655618">
        <w:rPr>
          <w:rFonts w:cs="Arial"/>
        </w:rPr>
        <w:t>TROJANMEDE Pty Ltd</w:t>
      </w:r>
    </w:p>
    <w:p w14:paraId="07F36FC5" w14:textId="28B2D143"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Mr Guy Dunne</w:t>
      </w:r>
    </w:p>
    <w:p w14:paraId="07F36FC6" w14:textId="6EBEB4C1"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14:paraId="07F36FC7" w14:textId="194325DB"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14:paraId="07F36FC8" w14:textId="77777777"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14:paraId="07F36FC9" w14:textId="172E409D"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6627E4" w:rsidRPr="00655618">
        <w:rPr>
          <w:rFonts w:cs="Arial"/>
        </w:rPr>
        <w:t>6 November 2015</w:t>
      </w:r>
    </w:p>
    <w:p w14:paraId="07F36FCA" w14:textId="77777777" w:rsidR="001620E9" w:rsidRPr="00655618" w:rsidRDefault="001620E9" w:rsidP="001620E9">
      <w:pPr>
        <w:pStyle w:val="BottomLine"/>
        <w:rPr>
          <w:rFonts w:cs="Arial"/>
        </w:rPr>
      </w:pPr>
    </w:p>
    <w:p w14:paraId="522B6928" w14:textId="76CA352C" w:rsidR="00D33764" w:rsidRPr="00655618" w:rsidRDefault="00C36B82" w:rsidP="00D33764">
      <w:pPr>
        <w:pStyle w:val="Heading2"/>
        <w:spacing w:before="120"/>
        <w:rPr>
          <w:rFonts w:cs="Arial"/>
        </w:rPr>
      </w:pPr>
      <w:r w:rsidRPr="00655618">
        <w:rPr>
          <w:rFonts w:cs="Arial"/>
        </w:rPr>
        <w:t>Background</w:t>
      </w:r>
    </w:p>
    <w:p w14:paraId="666E0C81" w14:textId="47BF7491"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D33764" w:rsidRPr="00655618">
        <w:rPr>
          <w:rFonts w:cs="Arial"/>
          <w:szCs w:val="24"/>
        </w:rPr>
        <w:t>22 June 2015</w:t>
      </w:r>
      <w:r w:rsidRPr="00655618">
        <w:rPr>
          <w:rFonts w:cs="Arial"/>
          <w:szCs w:val="24"/>
        </w:rPr>
        <w:t>,</w:t>
      </w:r>
      <w:r w:rsidR="00D33764" w:rsidRPr="00655618">
        <w:rPr>
          <w:rFonts w:cs="Arial"/>
          <w:szCs w:val="24"/>
        </w:rPr>
        <w:t xml:space="preserve"> Mr Andrew Case on behalf of </w:t>
      </w:r>
      <w:proofErr w:type="spellStart"/>
      <w:r w:rsidR="00D33764" w:rsidRPr="00655618">
        <w:rPr>
          <w:rFonts w:cs="Arial"/>
          <w:szCs w:val="24"/>
        </w:rPr>
        <w:t>Trojanmede</w:t>
      </w:r>
      <w:proofErr w:type="spellEnd"/>
      <w:r w:rsidR="00D33764" w:rsidRPr="00655618">
        <w:rPr>
          <w:rFonts w:cs="Arial"/>
          <w:szCs w:val="24"/>
        </w:rPr>
        <w:t xml:space="preserve"> Pty Ltd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authorised for use at the Beachfront Hotel</w:t>
      </w:r>
      <w:r w:rsidRPr="00655618">
        <w:rPr>
          <w:rFonts w:cs="Arial"/>
          <w:szCs w:val="24"/>
        </w:rPr>
        <w:t xml:space="preserve"> </w:t>
      </w:r>
      <w:r w:rsidR="00322F46" w:rsidRPr="00655618">
        <w:rPr>
          <w:rFonts w:cs="Arial"/>
          <w:szCs w:val="24"/>
        </w:rPr>
        <w:t xml:space="preserve">(“the Hotel”)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14:paraId="47C49F75" w14:textId="56E25567"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14:paraId="0E05C311" w14:textId="5241020D"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w:t>
      </w:r>
      <w:proofErr w:type="spellStart"/>
      <w:r w:rsidR="0040316A" w:rsidRPr="00B3067F">
        <w:rPr>
          <w:rFonts w:cs="Arial"/>
          <w:szCs w:val="24"/>
        </w:rPr>
        <w:t>i</w:t>
      </w:r>
      <w:proofErr w:type="spellEnd"/>
      <w:r w:rsidR="0040316A" w:rsidRPr="00B3067F">
        <w:rPr>
          <w:rFonts w:cs="Arial"/>
          <w:szCs w:val="24"/>
        </w:rPr>
        <w:t>)</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14:paraId="4CDA4FF4" w14:textId="79FFE837"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14:paraId="4B3F60C1" w14:textId="064B6A00"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TAVERN (number 80315</w:t>
      </w:r>
      <w:r w:rsidR="006A2598" w:rsidRPr="00B3067F">
        <w:rPr>
          <w:rFonts w:cs="Arial"/>
          <w:szCs w:val="24"/>
        </w:rPr>
        <w:t>200</w:t>
      </w:r>
      <w:r w:rsidRPr="00B3067F">
        <w:rPr>
          <w:rFonts w:cs="Arial"/>
          <w:szCs w:val="24"/>
        </w:rPr>
        <w:t>), which is defined under section 3 of the Act as a hotel liquor licence.</w:t>
      </w:r>
    </w:p>
    <w:p w14:paraId="2E00E41B" w14:textId="23E6DE91"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B3067F">
        <w:rPr>
          <w:rFonts w:cs="Arial"/>
          <w:szCs w:val="24"/>
        </w:rPr>
        <w:t xml:space="preserve">GM187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20 gaming machines.</w:t>
      </w:r>
    </w:p>
    <w:p w14:paraId="2BFF450D" w14:textId="340325C9"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p>
    <w:p w14:paraId="096F609A" w14:textId="7F6646E8" w:rsidR="008A32EB" w:rsidRPr="00B3067F" w:rsidRDefault="00D33764"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14:paraId="7D02ECD7" w14:textId="354BB3FB"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14:paraId="181F7F22" w14:textId="757AAE85"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14:paraId="5A184EB3" w14:textId="0E3E98C0"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14:paraId="718FFFCB" w14:textId="38A1E57B"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14:paraId="3C54F5A0" w14:textId="71A3E3A0"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14:paraId="225FBDBD" w14:textId="77777777"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14:paraId="4DFEC17E" w14:textId="77777777"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14:paraId="641CE63B" w14:textId="67F9D49A"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14:paraId="43B9444B" w14:textId="77777777"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14:paraId="357DC970" w14:textId="77777777"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14:paraId="35A59F83" w14:textId="77777777"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14:paraId="2DE5258E" w14:textId="77777777"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14:paraId="4ADE7E92" w14:textId="77777777"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14:paraId="54AA738A" w14:textId="77777777"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14:paraId="2A1F606F" w14:textId="77777777"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14:paraId="47438D07" w14:textId="03B41832" w:rsidR="00F31EE1" w:rsidRPr="00F1351E" w:rsidRDefault="00F31EE1" w:rsidP="00587446">
      <w:pPr>
        <w:pStyle w:val="Heading3"/>
      </w:pPr>
      <w:r w:rsidRPr="00F1351E">
        <w:t>Increased number of gaming machines</w:t>
      </w:r>
    </w:p>
    <w:p w14:paraId="6255EE6C" w14:textId="0E95F974" w:rsidR="00F76467" w:rsidRPr="00B3067F" w:rsidRDefault="003B7A67" w:rsidP="003B7A67">
      <w:pPr>
        <w:pStyle w:val="ListParagraph"/>
        <w:numPr>
          <w:ilvl w:val="0"/>
          <w:numId w:val="12"/>
        </w:numPr>
        <w:spacing w:after="12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p>
    <w:p w14:paraId="15A89302" w14:textId="4FE5B893" w:rsidR="00F76467" w:rsidRPr="00B3067F" w:rsidRDefault="00F76467" w:rsidP="003B7A67">
      <w:pPr>
        <w:pStyle w:val="ListParagraph"/>
        <w:numPr>
          <w:ilvl w:val="0"/>
          <w:numId w:val="12"/>
        </w:numPr>
        <w:spacing w:after="120"/>
        <w:ind w:left="567" w:hanging="425"/>
        <w:jc w:val="both"/>
        <w:rPr>
          <w:rFonts w:cs="Arial"/>
          <w:szCs w:val="22"/>
        </w:rPr>
      </w:pPr>
      <w:r w:rsidRPr="00B3067F">
        <w:rPr>
          <w:rFonts w:cs="Arial"/>
          <w:szCs w:val="22"/>
        </w:rPr>
        <w:t xml:space="preserve">The Applicant currently holds Gaming Machine Licence No. GM187 and is authorised to operate </w:t>
      </w:r>
      <w:r w:rsidR="003B7A67" w:rsidRPr="00B3067F">
        <w:rPr>
          <w:rFonts w:cs="Arial"/>
          <w:szCs w:val="22"/>
        </w:rPr>
        <w:t>ten</w:t>
      </w:r>
      <w:r w:rsidRPr="00B3067F">
        <w:rPr>
          <w:rFonts w:cs="Arial"/>
          <w:szCs w:val="22"/>
        </w:rPr>
        <w:t xml:space="preserve"> gaming machines and currently does operates </w:t>
      </w:r>
      <w:r w:rsidR="003B7A67" w:rsidRPr="00B3067F">
        <w:rPr>
          <w:rFonts w:cs="Arial"/>
          <w:szCs w:val="22"/>
        </w:rPr>
        <w:t>ten</w:t>
      </w:r>
      <w:r w:rsidRPr="00B3067F">
        <w:rPr>
          <w:rFonts w:cs="Arial"/>
          <w:szCs w:val="22"/>
        </w:rPr>
        <w:t xml:space="preserve"> gaming machines on the premises.  That is, the Applicant is currently operating gaming machines to the limit of its current authorisation.</w:t>
      </w:r>
    </w:p>
    <w:p w14:paraId="47EBCC9F" w14:textId="11BB20CE"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86745F" w:rsidRPr="00B3067F">
        <w:rPr>
          <w:rFonts w:cs="Arial"/>
          <w:szCs w:val="24"/>
        </w:rPr>
        <w:t>quor licence, the premises are considered to be a Category 1 licensed premise pursuant to 2(a) of the Regulations.</w:t>
      </w:r>
    </w:p>
    <w:p w14:paraId="136F3722" w14:textId="1F3B86D6"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14:paraId="058613D9" w14:textId="342E294A" w:rsidR="00F31EE1" w:rsidRPr="00587446" w:rsidRDefault="00F31EE1" w:rsidP="00587446">
      <w:pPr>
        <w:pStyle w:val="Heading3"/>
      </w:pPr>
      <w:r w:rsidRPr="00587446">
        <w:lastRenderedPageBreak/>
        <w:t>Community Impact Analysis</w:t>
      </w:r>
    </w:p>
    <w:p w14:paraId="767C0405" w14:textId="5BC0A9E0"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14:paraId="0EB326FC" w14:textId="77777777" w:rsidR="006400D3" w:rsidRPr="00655618" w:rsidRDefault="006400D3" w:rsidP="00587446">
      <w:pPr>
        <w:pStyle w:val="ListParagraph"/>
        <w:keepNext/>
        <w:spacing w:after="120"/>
        <w:ind w:left="992" w:hanging="425"/>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14:paraId="09EB4C12" w14:textId="77777777"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14:paraId="22D1FCB2" w14:textId="77777777"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14:paraId="6CD80E4E" w14:textId="77777777"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14:paraId="37A9B7C7" w14:textId="77777777"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14:paraId="5292500A" w14:textId="30C63FB6"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14:paraId="3AC246AE" w14:textId="2B263588" w:rsidR="006B4310" w:rsidRPr="00B3067F" w:rsidRDefault="006B4310" w:rsidP="00587446">
      <w:pPr>
        <w:pStyle w:val="ListParagraph"/>
        <w:numPr>
          <w:ilvl w:val="0"/>
          <w:numId w:val="12"/>
        </w:numPr>
        <w:spacing w:after="240"/>
        <w:ind w:left="567" w:hanging="425"/>
        <w:jc w:val="both"/>
        <w:rPr>
          <w:rFonts w:cs="Arial"/>
          <w:szCs w:val="22"/>
        </w:rPr>
      </w:pPr>
      <w:r w:rsidRPr="00655618">
        <w:rPr>
          <w:rFonts w:cs="Arial"/>
          <w:szCs w:val="22"/>
        </w:rPr>
        <w:t>Information contained throughout the CIA indicates that the current floor space of the premises is 1</w:t>
      </w:r>
      <w:r w:rsidR="001505FB">
        <w:rPr>
          <w:rFonts w:cs="Arial"/>
          <w:szCs w:val="22"/>
        </w:rPr>
        <w:t xml:space="preserve"> </w:t>
      </w:r>
      <w:r w:rsidRPr="00655618">
        <w:rPr>
          <w:rFonts w:cs="Arial"/>
          <w:szCs w:val="22"/>
        </w:rPr>
        <w:t>708 square metres of which 44% of the area is used for bars, 46% is used for dining, 2% is utilised for gaming with the remaining 8% defined as being used for other.  The CIA states that these percentages of floor space utilisation will not change following the pla</w:t>
      </w:r>
      <w:r w:rsidRPr="00B3067F">
        <w:rPr>
          <w:rFonts w:cs="Arial"/>
          <w:szCs w:val="22"/>
        </w:rPr>
        <w:t>nned refurbishment.</w:t>
      </w:r>
    </w:p>
    <w:p w14:paraId="3E0665FB" w14:textId="7510C497" w:rsidR="00220937" w:rsidRPr="00B3067F" w:rsidRDefault="00220937" w:rsidP="00587446">
      <w:pPr>
        <w:pStyle w:val="ListParagraph"/>
        <w:numPr>
          <w:ilvl w:val="0"/>
          <w:numId w:val="12"/>
        </w:numPr>
        <w:spacing w:after="240"/>
        <w:ind w:left="567" w:hanging="425"/>
        <w:jc w:val="both"/>
        <w:rPr>
          <w:rFonts w:cs="Arial"/>
          <w:szCs w:val="22"/>
        </w:rPr>
      </w:pPr>
      <w:r w:rsidRPr="00B3067F">
        <w:rPr>
          <w:rFonts w:cs="Arial"/>
          <w:szCs w:val="22"/>
        </w:rPr>
        <w:t>With respect to the gaming area, further information was sought from the Applicant in relation to the current and future gaming area layout.  In response</w:t>
      </w:r>
      <w:r w:rsidR="005303FC" w:rsidRPr="00B3067F">
        <w:rPr>
          <w:rFonts w:cs="Arial"/>
          <w:szCs w:val="22"/>
        </w:rPr>
        <w:t>,</w:t>
      </w:r>
      <w:r w:rsidRPr="00B3067F">
        <w:rPr>
          <w:rFonts w:cs="Arial"/>
          <w:szCs w:val="22"/>
        </w:rPr>
        <w:t xml:space="preserve"> an existing and proposed site plan was provided </w:t>
      </w:r>
      <w:r w:rsidR="005303FC" w:rsidRPr="00B3067F">
        <w:rPr>
          <w:rFonts w:cs="Arial"/>
          <w:szCs w:val="22"/>
        </w:rPr>
        <w:t xml:space="preserve">to the Director-General </w:t>
      </w:r>
      <w:r w:rsidRPr="00B3067F">
        <w:rPr>
          <w:rFonts w:cs="Arial"/>
          <w:szCs w:val="22"/>
        </w:rPr>
        <w:t>including the current and proposed gaming machine layout within the gaming area.</w:t>
      </w:r>
      <w:r w:rsidR="004732FE" w:rsidRPr="00B3067F">
        <w:rPr>
          <w:rFonts w:cs="Arial"/>
          <w:szCs w:val="22"/>
        </w:rPr>
        <w:t xml:space="preserve">  </w:t>
      </w:r>
    </w:p>
    <w:p w14:paraId="31FF2778" w14:textId="0069802E"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The requested plans show that the gaming area is a discrete area within the premises and that w</w:t>
      </w:r>
      <w:r w:rsidR="005303FC" w:rsidRPr="00B3067F">
        <w:rPr>
          <w:rFonts w:cs="Arial"/>
          <w:szCs w:val="22"/>
        </w:rPr>
        <w:t xml:space="preserve">hilst the Applicant does not intend to increase the </w:t>
      </w:r>
      <w:r w:rsidRPr="00B3067F">
        <w:rPr>
          <w:rFonts w:cs="Arial"/>
          <w:szCs w:val="22"/>
        </w:rPr>
        <w:t xml:space="preserve">size of the </w:t>
      </w:r>
      <w:r w:rsidR="005303FC" w:rsidRPr="00B3067F">
        <w:rPr>
          <w:rFonts w:cs="Arial"/>
          <w:szCs w:val="22"/>
        </w:rPr>
        <w:t>gaming area</w:t>
      </w:r>
      <w:r w:rsidRPr="00B3067F">
        <w:rPr>
          <w:rFonts w:cs="Arial"/>
          <w:szCs w:val="22"/>
        </w:rPr>
        <w:t xml:space="preserve"> or change its location </w:t>
      </w:r>
      <w:r w:rsidR="005303FC" w:rsidRPr="00B3067F">
        <w:rPr>
          <w:rFonts w:cs="Arial"/>
          <w:szCs w:val="22"/>
        </w:rPr>
        <w:t>should an additional ten gaming machines be authorised, it appears that with a change to the layout of gaming machines in the gaming area, that there is sufficient space to incorporate additional gaming machines if approved.</w:t>
      </w:r>
    </w:p>
    <w:p w14:paraId="12B5417E" w14:textId="3B6E1963"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14:paraId="2AB5F204" w14:textId="51B4A02C" w:rsidR="004732FE"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the facilities at the venue incorporate a </w:t>
      </w:r>
      <w:r w:rsidRPr="00587446">
        <w:rPr>
          <w:rFonts w:cs="Arial"/>
          <w:szCs w:val="22"/>
        </w:rPr>
        <w:t>“</w:t>
      </w:r>
      <w:r w:rsidRPr="00B3067F">
        <w:rPr>
          <w:rFonts w:cs="Arial"/>
          <w:i/>
          <w:szCs w:val="22"/>
        </w:rPr>
        <w:t>multitude of entertainment offerings</w:t>
      </w:r>
      <w:r w:rsidRPr="00587446">
        <w:rPr>
          <w:rFonts w:cs="Arial"/>
          <w:szCs w:val="22"/>
        </w:rPr>
        <w:t>”</w:t>
      </w:r>
      <w:r w:rsidRPr="00B3067F">
        <w:rPr>
          <w:rFonts w:cs="Arial"/>
          <w:i/>
          <w:szCs w:val="22"/>
        </w:rPr>
        <w:t xml:space="preserve"> </w:t>
      </w:r>
      <w:r w:rsidRPr="00B3067F">
        <w:rPr>
          <w:rFonts w:cs="Arial"/>
          <w:szCs w:val="22"/>
        </w:rPr>
        <w:t xml:space="preserve">such as a number of bars including Turtles Bar and Bistro, pool tables, darts, amusement machines and a juke box whilst the gaming room currently has ten gaming machines, TAB and Keno.  Live entertainment is also provided which consists of local bands and entertainers.  There is also a bottle shop as part of the premises.  The CIA states that the linking of food, beverages and entertainment brings together a wide range of patrons. </w:t>
      </w:r>
    </w:p>
    <w:p w14:paraId="6A526898" w14:textId="618E94AA" w:rsidR="004732FE"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The CIA provides information regarding the Hotel’s financial performance.  It states that the Hotel’s revenue is mainly derived from on premise food and beverages but that it also attracts a high off premise revenue.  The CIA advises that the Hotel is not solely reliant on the gaming component of its operations as this revenue only forms a part of the venue</w:t>
      </w:r>
      <w:r w:rsidR="000D0C27" w:rsidRPr="00B3067F">
        <w:rPr>
          <w:rFonts w:cs="Arial"/>
          <w:szCs w:val="22"/>
        </w:rPr>
        <w:t>’</w:t>
      </w:r>
      <w:r w:rsidRPr="00B3067F">
        <w:rPr>
          <w:rFonts w:cs="Arial"/>
          <w:szCs w:val="22"/>
        </w:rPr>
        <w:t xml:space="preserve">s </w:t>
      </w:r>
      <w:r w:rsidR="000D0C27" w:rsidRPr="00B3067F">
        <w:rPr>
          <w:rFonts w:cs="Arial"/>
          <w:szCs w:val="22"/>
        </w:rPr>
        <w:t xml:space="preserve">available </w:t>
      </w:r>
      <w:r w:rsidRPr="00B3067F">
        <w:rPr>
          <w:rFonts w:cs="Arial"/>
          <w:szCs w:val="22"/>
        </w:rPr>
        <w:t>entertainment options.</w:t>
      </w:r>
    </w:p>
    <w:p w14:paraId="585517D9" w14:textId="772C3059" w:rsidR="004732FE" w:rsidRPr="00B3067F" w:rsidRDefault="004732FE" w:rsidP="00587446">
      <w:pPr>
        <w:pStyle w:val="ListParagraph"/>
        <w:keepLines/>
        <w:numPr>
          <w:ilvl w:val="0"/>
          <w:numId w:val="12"/>
        </w:numPr>
        <w:spacing w:after="240"/>
        <w:ind w:left="567" w:hanging="425"/>
        <w:jc w:val="both"/>
        <w:rPr>
          <w:rFonts w:cs="Arial"/>
          <w:szCs w:val="22"/>
        </w:rPr>
      </w:pPr>
      <w:r w:rsidRPr="00B3067F">
        <w:rPr>
          <w:rFonts w:cs="Arial"/>
          <w:szCs w:val="22"/>
        </w:rPr>
        <w:t>The CIA’s financial analysis indicates that in 2012 and 2013, 1% of the venue’s revenue was derived from gambling.  The information in the CIA then states that for 2014, 95.2% of the venue’s revenue was derived from gambling.  It is evident that this is an error and clarification was sought by the Director-General which resulted in the submission of an updated financial analysis for the venue.  The updated figures indicate that 8% of overall revenue was generated through gaming in 2012, 7% in 2013 and 8% in 2014.</w:t>
      </w:r>
    </w:p>
    <w:p w14:paraId="35EA1C3E" w14:textId="3725963B" w:rsidR="000D0C27" w:rsidRPr="00B3067F" w:rsidRDefault="007023AB" w:rsidP="00587446">
      <w:pPr>
        <w:pStyle w:val="ListParagraph"/>
        <w:numPr>
          <w:ilvl w:val="0"/>
          <w:numId w:val="12"/>
        </w:numPr>
        <w:spacing w:after="240"/>
        <w:ind w:left="567" w:hanging="425"/>
        <w:jc w:val="both"/>
        <w:rPr>
          <w:rFonts w:cs="Arial"/>
          <w:szCs w:val="22"/>
        </w:rPr>
      </w:pPr>
      <w:r w:rsidRPr="00B3067F">
        <w:rPr>
          <w:rFonts w:cs="Arial"/>
          <w:szCs w:val="22"/>
        </w:rPr>
        <w:lastRenderedPageBreak/>
        <w:t>The updated figures which the Applicant advises are figures where GST has already been deducted for accounting purpose</w:t>
      </w:r>
      <w:r w:rsidR="00DB0EEC" w:rsidRPr="00B3067F">
        <w:rPr>
          <w:rFonts w:cs="Arial"/>
          <w:szCs w:val="22"/>
        </w:rPr>
        <w:t>s</w:t>
      </w:r>
      <w:r w:rsidRPr="00B3067F">
        <w:rPr>
          <w:rFonts w:cs="Arial"/>
          <w:szCs w:val="22"/>
        </w:rPr>
        <w:t xml:space="preserve"> correlate to the gaming data held by Licensing NT.</w:t>
      </w:r>
    </w:p>
    <w:p w14:paraId="0CD887BA" w14:textId="5839C2BF"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 xml:space="preserve">On the basis of the financial analysis provided and Licensing NT data it is apparent that the vast majority of the venue’s revenue is generated by activity other than that generated by the gaming machines and as such I am satisfied that the primary activity of the venue is not that of its gaming machines.  </w:t>
      </w:r>
    </w:p>
    <w:p w14:paraId="29D074C4" w14:textId="1962E6F7"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14:paraId="64AFA3F5" w14:textId="3CD1743E" w:rsidR="003E045C" w:rsidRPr="00B3067F"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agreed to with Licensing NT for use in the development of the CIA incorporates the suburbs of Alawa, Brinkin-</w:t>
      </w:r>
      <w:proofErr w:type="spellStart"/>
      <w:r w:rsidRPr="00B3067F">
        <w:rPr>
          <w:rFonts w:cs="Arial"/>
          <w:szCs w:val="22"/>
        </w:rPr>
        <w:t>Nakara</w:t>
      </w:r>
      <w:proofErr w:type="spellEnd"/>
      <w:r w:rsidRPr="00B3067F">
        <w:rPr>
          <w:rFonts w:cs="Arial"/>
          <w:szCs w:val="22"/>
        </w:rPr>
        <w:t xml:space="preserve">, Coconut Grove, Jingili, Millner, Nightcliff, Rapid Creek, Tiwi, Wagaman and Wanguri.  </w:t>
      </w:r>
    </w:p>
    <w:p w14:paraId="144D3C6A" w14:textId="6317C9AD" w:rsidR="004732FE" w:rsidRPr="008F70BE" w:rsidRDefault="003E045C" w:rsidP="00587446">
      <w:pPr>
        <w:pStyle w:val="ListParagraph"/>
        <w:numPr>
          <w:ilvl w:val="0"/>
          <w:numId w:val="12"/>
        </w:numPr>
        <w:spacing w:after="240"/>
        <w:ind w:left="567" w:hanging="425"/>
        <w:jc w:val="both"/>
        <w:rPr>
          <w:rFonts w:cs="Arial"/>
          <w:szCs w:val="22"/>
        </w:rPr>
      </w:pPr>
      <w:r w:rsidRPr="00B3067F">
        <w:rPr>
          <w:rFonts w:cs="Arial"/>
          <w:szCs w:val="22"/>
        </w:rPr>
        <w:t>The CIA states that the LCA is a densely popul</w:t>
      </w:r>
      <w:r w:rsidRPr="00F1351E">
        <w:rPr>
          <w:rFonts w:cs="Arial"/>
          <w:szCs w:val="22"/>
        </w:rPr>
        <w:t>ated area having a population of over 25 000 consis</w:t>
      </w:r>
      <w:r w:rsidR="00B44012" w:rsidRPr="00F1351E">
        <w:rPr>
          <w:rFonts w:cs="Arial"/>
          <w:szCs w:val="22"/>
        </w:rPr>
        <w:t xml:space="preserve">ting of more than 19 500 adults of which </w:t>
      </w:r>
      <w:r w:rsidR="004F4447" w:rsidRPr="00F1351E">
        <w:rPr>
          <w:rFonts w:cs="Arial"/>
          <w:szCs w:val="22"/>
        </w:rPr>
        <w:t>the age distribution is relatively even.</w:t>
      </w:r>
      <w:r w:rsidR="004F4447" w:rsidRPr="008F70BE">
        <w:rPr>
          <w:rFonts w:cs="Arial"/>
          <w:szCs w:val="22"/>
        </w:rPr>
        <w:t xml:space="preserve">  Statistical information obtained through the Australian Bureau of Statistics</w:t>
      </w:r>
      <w:r w:rsidR="00E71A10">
        <w:rPr>
          <w:rFonts w:cs="Arial"/>
          <w:szCs w:val="22"/>
        </w:rPr>
        <w:t>’</w:t>
      </w:r>
      <w:r w:rsidR="004F4447" w:rsidRPr="008F70BE">
        <w:rPr>
          <w:rFonts w:cs="Arial"/>
          <w:szCs w:val="22"/>
        </w:rPr>
        <w:t xml:space="preserve"> 2011 Census Data shows that the LCA has a highly educated population with 9% of the population having obtained a post graduate degree and 30% having obtained a bachelor degree, graduate diploma or graduate certificate.  The CIA indicates that unemployment rates in the LCA are 3.2% in 2014 and that this rate has remained steady since 2010.  Further, that the largest proportion of residents have a combined household </w:t>
      </w:r>
      <w:r w:rsidR="005E24DC" w:rsidRPr="008F70BE">
        <w:rPr>
          <w:rFonts w:cs="Arial"/>
          <w:szCs w:val="22"/>
        </w:rPr>
        <w:t>income between $1</w:t>
      </w:r>
      <w:r w:rsidR="001505FB">
        <w:rPr>
          <w:rFonts w:cs="Arial"/>
          <w:szCs w:val="22"/>
        </w:rPr>
        <w:t xml:space="preserve"> </w:t>
      </w:r>
      <w:r w:rsidR="005E24DC" w:rsidRPr="008F70BE">
        <w:rPr>
          <w:rFonts w:cs="Arial"/>
          <w:szCs w:val="22"/>
        </w:rPr>
        <w:t>500 and $2</w:t>
      </w:r>
      <w:r w:rsidR="001505FB">
        <w:rPr>
          <w:rFonts w:cs="Arial"/>
          <w:szCs w:val="22"/>
        </w:rPr>
        <w:t xml:space="preserve"> </w:t>
      </w:r>
      <w:r w:rsidR="005E24DC" w:rsidRPr="008F70BE">
        <w:rPr>
          <w:rFonts w:cs="Arial"/>
          <w:szCs w:val="22"/>
        </w:rPr>
        <w:t>499 with 21% of the population owning their own home</w:t>
      </w:r>
      <w:r w:rsidR="005D72CE" w:rsidRPr="008F70BE">
        <w:rPr>
          <w:rFonts w:cs="Arial"/>
          <w:szCs w:val="22"/>
        </w:rPr>
        <w:t>,</w:t>
      </w:r>
      <w:r w:rsidR="00512F0E">
        <w:rPr>
          <w:rFonts w:cs="Arial"/>
          <w:szCs w:val="22"/>
        </w:rPr>
        <w:t xml:space="preserve"> and</w:t>
      </w:r>
      <w:r w:rsidR="005D72CE" w:rsidRPr="008F70BE">
        <w:rPr>
          <w:rFonts w:cs="Arial"/>
          <w:szCs w:val="22"/>
        </w:rPr>
        <w:t xml:space="preserve"> 33% in the process of purchasing their own home.  42% of the population are renting their home and the CIA comments that this is most likely due to the fact that 17% of the population are residents that are attending </w:t>
      </w:r>
      <w:r w:rsidR="00E71A10">
        <w:rPr>
          <w:rFonts w:cs="Arial"/>
          <w:szCs w:val="22"/>
        </w:rPr>
        <w:t>u</w:t>
      </w:r>
      <w:r w:rsidR="005D72CE" w:rsidRPr="008F70BE">
        <w:rPr>
          <w:rFonts w:cs="Arial"/>
          <w:szCs w:val="22"/>
        </w:rPr>
        <w:t>niversity.</w:t>
      </w:r>
      <w:r w:rsidR="004F4447" w:rsidRPr="008F70BE">
        <w:rPr>
          <w:rFonts w:cs="Arial"/>
          <w:szCs w:val="22"/>
        </w:rPr>
        <w:t xml:space="preserve">  </w:t>
      </w:r>
      <w:r w:rsidR="005D72CE" w:rsidRPr="008F70BE">
        <w:rPr>
          <w:rFonts w:cs="Arial"/>
          <w:szCs w:val="22"/>
        </w:rPr>
        <w:t xml:space="preserve">Whilst 11% of residents did not state their country of birth, statistical data indicates that 30% of those that did respond were born overseas with the majority having been born in Asia.  7.7% of the population identified themselves as being Aboriginal and or Torres Strait Islanders. </w:t>
      </w:r>
    </w:p>
    <w:p w14:paraId="64447243" w14:textId="052E1E70" w:rsidR="00E41C2A" w:rsidRPr="008F70BE" w:rsidRDefault="005D72CE" w:rsidP="00587446">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advantage.</w:t>
      </w:r>
    </w:p>
    <w:p w14:paraId="404DEC98" w14:textId="55525666" w:rsidR="00630155" w:rsidRPr="008F70BE" w:rsidRDefault="00E41C2A" w:rsidP="00587446">
      <w:pPr>
        <w:pStyle w:val="ListParagraph"/>
        <w:numPr>
          <w:ilvl w:val="0"/>
          <w:numId w:val="12"/>
        </w:numPr>
        <w:spacing w:after="240"/>
        <w:ind w:left="567" w:hanging="425"/>
        <w:jc w:val="both"/>
        <w:rPr>
          <w:rFonts w:cs="Arial"/>
          <w:szCs w:val="22"/>
        </w:rPr>
      </w:pPr>
      <w:r w:rsidRPr="008F70BE">
        <w:rPr>
          <w:rFonts w:cs="Arial"/>
          <w:bCs/>
          <w:szCs w:val="22"/>
        </w:rPr>
        <w:t>There are a number of ways to view the scores from the SEIFA, with one being through the decile score system where a ranking is given from 1 to 10 with 1 indicating that an area is in the bottom 10% of areas or in other words, the most disadvantage</w:t>
      </w:r>
      <w:r w:rsidR="00630155" w:rsidRPr="008F70BE">
        <w:rPr>
          <w:rFonts w:cs="Arial"/>
          <w:bCs/>
          <w:szCs w:val="22"/>
        </w:rPr>
        <w:t>d</w:t>
      </w:r>
      <w:r w:rsidRPr="008F70BE">
        <w:rPr>
          <w:rFonts w:cs="Arial"/>
          <w:bCs/>
          <w:szCs w:val="22"/>
        </w:rPr>
        <w:t xml:space="preserve"> and 10 indicating </w:t>
      </w:r>
      <w:r w:rsidR="0038496D" w:rsidRPr="008F70BE">
        <w:rPr>
          <w:rFonts w:cs="Arial"/>
          <w:bCs/>
          <w:szCs w:val="22"/>
        </w:rPr>
        <w:t xml:space="preserve">that the area is in the top 10% of areas thus being the most advantaged.  </w:t>
      </w:r>
      <w:r w:rsidR="00F15C61" w:rsidRPr="008F70BE">
        <w:rPr>
          <w:rFonts w:cs="Arial"/>
          <w:bCs/>
          <w:szCs w:val="22"/>
        </w:rPr>
        <w:t>Of the suburbs incorporated within the LCA, there is a range of decile scores between 4 and 9, with 8 of the 10 suburbs having a sco</w:t>
      </w:r>
      <w:r w:rsidR="008E47CE" w:rsidRPr="008F70BE">
        <w:rPr>
          <w:rFonts w:cs="Arial"/>
          <w:bCs/>
          <w:szCs w:val="22"/>
        </w:rPr>
        <w:t>re of 6 or more</w:t>
      </w:r>
      <w:r w:rsidR="00630155" w:rsidRPr="008F70BE">
        <w:rPr>
          <w:rFonts w:cs="Arial"/>
          <w:bCs/>
          <w:szCs w:val="22"/>
        </w:rPr>
        <w:t xml:space="preserve">.  Based on this information and that provided within the CIA, </w:t>
      </w:r>
      <w:r w:rsidR="00CB7DC0" w:rsidRPr="008F70BE">
        <w:rPr>
          <w:rFonts w:cs="Arial"/>
          <w:bCs/>
          <w:szCs w:val="22"/>
        </w:rPr>
        <w:t xml:space="preserve">it appears that </w:t>
      </w:r>
      <w:r w:rsidR="00630155" w:rsidRPr="008F70BE">
        <w:rPr>
          <w:rFonts w:cs="Arial"/>
          <w:bCs/>
          <w:szCs w:val="22"/>
        </w:rPr>
        <w:t>the vast majority of the population within the LCA have a relative</w:t>
      </w:r>
      <w:r w:rsidR="008E47CE" w:rsidRPr="008F70BE">
        <w:rPr>
          <w:rFonts w:cs="Arial"/>
          <w:bCs/>
          <w:szCs w:val="22"/>
        </w:rPr>
        <w:t xml:space="preserve"> </w:t>
      </w:r>
      <w:r w:rsidR="00630155" w:rsidRPr="008F70BE">
        <w:rPr>
          <w:rFonts w:cs="Arial"/>
          <w:bCs/>
          <w:szCs w:val="22"/>
        </w:rPr>
        <w:t xml:space="preserve">advantage in terms of </w:t>
      </w:r>
      <w:r w:rsidR="00630155" w:rsidRPr="008F70BE">
        <w:rPr>
          <w:rFonts w:cs="Arial"/>
          <w:szCs w:val="22"/>
        </w:rPr>
        <w:t xml:space="preserve">access to material </w:t>
      </w:r>
      <w:r w:rsidR="00BA75DE">
        <w:rPr>
          <w:rFonts w:cs="Arial"/>
          <w:szCs w:val="22"/>
        </w:rPr>
        <w:t>and</w:t>
      </w:r>
      <w:r w:rsidR="00BA75DE" w:rsidRPr="008F70BE">
        <w:rPr>
          <w:rFonts w:cs="Arial"/>
          <w:szCs w:val="22"/>
        </w:rPr>
        <w:t xml:space="preserve"> </w:t>
      </w:r>
      <w:r w:rsidR="00630155" w:rsidRPr="008F70BE">
        <w:rPr>
          <w:rFonts w:cs="Arial"/>
          <w:szCs w:val="22"/>
        </w:rPr>
        <w:t>social resources, and ability to participate in society</w:t>
      </w:r>
      <w:r w:rsidR="0068683B" w:rsidRPr="008F70BE">
        <w:rPr>
          <w:rFonts w:cs="Arial"/>
          <w:szCs w:val="22"/>
        </w:rPr>
        <w:t xml:space="preserve"> in comparison to the overall population of the Northern Territory.</w:t>
      </w:r>
    </w:p>
    <w:p w14:paraId="72FDF2D1" w14:textId="08F506F8" w:rsidR="002F60ED" w:rsidRPr="008F70BE" w:rsidRDefault="002F60ED" w:rsidP="006419C4">
      <w:pPr>
        <w:pStyle w:val="ListParagraph"/>
        <w:keepLines/>
        <w:numPr>
          <w:ilvl w:val="0"/>
          <w:numId w:val="12"/>
        </w:numPr>
        <w:spacing w:after="240"/>
        <w:ind w:left="567" w:hanging="425"/>
        <w:jc w:val="both"/>
        <w:rPr>
          <w:rFonts w:cs="Arial"/>
          <w:bCs/>
          <w:szCs w:val="22"/>
        </w:rPr>
      </w:pPr>
      <w:r w:rsidRPr="008F70BE">
        <w:rPr>
          <w:rFonts w:cs="Arial"/>
          <w:bCs/>
          <w:szCs w:val="22"/>
        </w:rPr>
        <w:t>The CIA indicates that within the LCA, there are four venues that provide access to gaming machines, these being the Casuarina All Sports Club, the Nightcliff Sports Club, the Airport Hotel and the Beachfront Hotel itself.  The CIA further states that within the LCA and as at 2014</w:t>
      </w:r>
      <w:r w:rsidR="005D1EE0" w:rsidRPr="008F70BE">
        <w:rPr>
          <w:rFonts w:cs="Arial"/>
          <w:bCs/>
          <w:szCs w:val="22"/>
        </w:rPr>
        <w:t xml:space="preserve"> (using population projections of the Northern Territory Department of Treasury and Finance rather than the 2011 census data)</w:t>
      </w:r>
      <w:r w:rsidRPr="008F70BE">
        <w:rPr>
          <w:rFonts w:cs="Arial"/>
          <w:bCs/>
          <w:szCs w:val="22"/>
        </w:rPr>
        <w:t xml:space="preserve">, </w:t>
      </w:r>
      <w:r w:rsidR="003C2211" w:rsidRPr="008F70BE">
        <w:rPr>
          <w:rFonts w:cs="Arial"/>
          <w:bCs/>
          <w:szCs w:val="22"/>
        </w:rPr>
        <w:t xml:space="preserve">there is a </w:t>
      </w:r>
      <w:r w:rsidRPr="008F70BE">
        <w:rPr>
          <w:rFonts w:cs="Arial"/>
          <w:bCs/>
          <w:szCs w:val="22"/>
        </w:rPr>
        <w:t>density of 41 gaming machines per</w:t>
      </w:r>
      <w:r w:rsidR="003C2211" w:rsidRPr="008F70BE">
        <w:rPr>
          <w:rFonts w:cs="Arial"/>
          <w:bCs/>
          <w:szCs w:val="22"/>
        </w:rPr>
        <w:t xml:space="preserve"> </w:t>
      </w:r>
      <w:r w:rsidRPr="008F70BE">
        <w:rPr>
          <w:rFonts w:cs="Arial"/>
          <w:bCs/>
          <w:szCs w:val="22"/>
        </w:rPr>
        <w:t>10</w:t>
      </w:r>
      <w:r w:rsidR="001505FB">
        <w:t> </w:t>
      </w:r>
      <w:r w:rsidRPr="008F70BE">
        <w:rPr>
          <w:rFonts w:cs="Arial"/>
          <w:bCs/>
          <w:szCs w:val="22"/>
        </w:rPr>
        <w:t>000 adults</w:t>
      </w:r>
      <w:r w:rsidR="008E22F8" w:rsidRPr="008F70BE">
        <w:rPr>
          <w:rFonts w:cs="Arial"/>
          <w:bCs/>
          <w:szCs w:val="22"/>
        </w:rPr>
        <w:t>.  Additionally, the CIA states that there are no indications of a clustering of gaming venues within the immediate area of the venue.</w:t>
      </w:r>
    </w:p>
    <w:p w14:paraId="21D9151A" w14:textId="695964B4" w:rsidR="00D840DD" w:rsidRPr="008F70BE" w:rsidRDefault="00D840DD" w:rsidP="006419C4">
      <w:pPr>
        <w:pStyle w:val="ListParagraph"/>
        <w:numPr>
          <w:ilvl w:val="0"/>
          <w:numId w:val="12"/>
        </w:numPr>
        <w:spacing w:after="240"/>
        <w:ind w:left="567" w:hanging="425"/>
        <w:jc w:val="both"/>
        <w:rPr>
          <w:rFonts w:cs="Arial"/>
          <w:bCs/>
          <w:szCs w:val="22"/>
        </w:rPr>
      </w:pPr>
      <w:r w:rsidRPr="008F70BE">
        <w:rPr>
          <w:rFonts w:cs="Arial"/>
          <w:bCs/>
          <w:szCs w:val="22"/>
        </w:rPr>
        <w:lastRenderedPageBreak/>
        <w:t>The Beachfront Hotel is somewhat isolated from other licensed venues that are authorised to operate gaming machines within the LCA, with the nearest venue being the Nightcliff Sports Club which is over one kilometre in distance from the venue.</w:t>
      </w:r>
      <w:r w:rsidR="003C2211" w:rsidRPr="008F70BE">
        <w:rPr>
          <w:rFonts w:cs="Arial"/>
          <w:bCs/>
          <w:szCs w:val="22"/>
        </w:rPr>
        <w:t xml:space="preserve">  </w:t>
      </w:r>
      <w:r w:rsidRPr="008F70BE">
        <w:rPr>
          <w:rFonts w:cs="Arial"/>
          <w:bCs/>
          <w:szCs w:val="22"/>
        </w:rPr>
        <w:t>Should this application be approved</w:t>
      </w:r>
      <w:r w:rsidR="003C2211" w:rsidRPr="008F70BE">
        <w:rPr>
          <w:rFonts w:cs="Arial"/>
          <w:bCs/>
          <w:szCs w:val="22"/>
        </w:rPr>
        <w:t xml:space="preserve"> and based on the same data set used by the CIA</w:t>
      </w:r>
      <w:r w:rsidRPr="008F70BE">
        <w:rPr>
          <w:rFonts w:cs="Arial"/>
          <w:bCs/>
          <w:szCs w:val="22"/>
        </w:rPr>
        <w:t xml:space="preserve">, the density of gaming </w:t>
      </w:r>
      <w:r w:rsidR="003C2211" w:rsidRPr="008F70BE">
        <w:rPr>
          <w:rFonts w:cs="Arial"/>
          <w:bCs/>
          <w:szCs w:val="22"/>
        </w:rPr>
        <w:t>machines would increase from 41 to 45 gaming machines per 10 000 adults.  Also of note is that t</w:t>
      </w:r>
      <w:r w:rsidR="002F60ED" w:rsidRPr="008F70BE">
        <w:rPr>
          <w:rFonts w:cs="Arial"/>
          <w:bCs/>
          <w:szCs w:val="22"/>
        </w:rPr>
        <w:t>wo of</w:t>
      </w:r>
      <w:r w:rsidR="003C2211" w:rsidRPr="008F70BE">
        <w:rPr>
          <w:rFonts w:cs="Arial"/>
          <w:bCs/>
          <w:szCs w:val="22"/>
        </w:rPr>
        <w:t xml:space="preserve"> the three venues also within the LCA have active applications with the Director-General for an</w:t>
      </w:r>
      <w:r w:rsidR="002F60ED" w:rsidRPr="008F70BE">
        <w:rPr>
          <w:rFonts w:cs="Arial"/>
          <w:bCs/>
          <w:szCs w:val="22"/>
        </w:rPr>
        <w:t xml:space="preserve"> </w:t>
      </w:r>
      <w:r w:rsidRPr="008F70BE">
        <w:rPr>
          <w:rFonts w:cs="Arial"/>
          <w:szCs w:val="24"/>
        </w:rPr>
        <w:t>increase in the number of gaming machines authorised for use</w:t>
      </w:r>
      <w:r w:rsidR="003C2211" w:rsidRPr="008F70BE">
        <w:rPr>
          <w:rFonts w:cs="Arial"/>
          <w:szCs w:val="24"/>
        </w:rPr>
        <w:t xml:space="preserve"> and should these applications also be approved, the gaming machine density would increase to 50 gaming machines per 10 000 adults.</w:t>
      </w:r>
    </w:p>
    <w:p w14:paraId="60CB3E07" w14:textId="52C96B3C" w:rsidR="00A234B1" w:rsidRPr="008F70BE" w:rsidRDefault="00A234B1" w:rsidP="006419C4">
      <w:pPr>
        <w:pStyle w:val="ListParagraph"/>
        <w:numPr>
          <w:ilvl w:val="0"/>
          <w:numId w:val="12"/>
        </w:numPr>
        <w:spacing w:after="240"/>
        <w:ind w:left="567" w:hanging="425"/>
        <w:jc w:val="both"/>
        <w:rPr>
          <w:rFonts w:cs="Arial"/>
          <w:bCs/>
          <w:szCs w:val="22"/>
        </w:rPr>
      </w:pPr>
      <w:r w:rsidRPr="008F70BE">
        <w:rPr>
          <w:rFonts w:cs="Arial"/>
          <w:bCs/>
          <w:szCs w:val="22"/>
        </w:rPr>
        <w:t xml:space="preserve">With respect to this application, the venue is not in close proximity to other gaming venues in the LCA however </w:t>
      </w:r>
      <w:r w:rsidR="00CA6DDE" w:rsidRPr="008F70BE">
        <w:rPr>
          <w:rFonts w:cs="Arial"/>
          <w:bCs/>
          <w:szCs w:val="22"/>
        </w:rPr>
        <w:t xml:space="preserve">whilst this may be the case, </w:t>
      </w:r>
      <w:r w:rsidRPr="008F70BE">
        <w:rPr>
          <w:rFonts w:cs="Arial"/>
          <w:bCs/>
          <w:szCs w:val="22"/>
        </w:rPr>
        <w:t xml:space="preserve">it is evident that the accessibility to gaming machines </w:t>
      </w:r>
      <w:r w:rsidR="00CA6DDE" w:rsidRPr="008F70BE">
        <w:rPr>
          <w:rFonts w:cs="Arial"/>
          <w:bCs/>
          <w:szCs w:val="22"/>
        </w:rPr>
        <w:t xml:space="preserve">by those people residing in the area </w:t>
      </w:r>
      <w:r w:rsidRPr="008F70BE">
        <w:rPr>
          <w:rFonts w:cs="Arial"/>
          <w:bCs/>
          <w:szCs w:val="22"/>
        </w:rPr>
        <w:t>will increase should the application be approved.</w:t>
      </w:r>
      <w:r w:rsidR="00CA6DDE" w:rsidRPr="008F70BE">
        <w:rPr>
          <w:rFonts w:cs="Arial"/>
          <w:bCs/>
          <w:szCs w:val="22"/>
        </w:rPr>
        <w:t xml:space="preserve">  The SEIFA decile scores which identify that the LCA area is not regarded as a low socio-economic area also need to be taken into consideration in determining whether an increase in accessibility to gaming machines within the LCA will lead to greater harm as do considerations around problem gambling risk management and responsible gambling </w:t>
      </w:r>
      <w:r w:rsidR="00CA6DDE" w:rsidRPr="008F70BE">
        <w:rPr>
          <w:rFonts w:cs="Arial"/>
          <w:szCs w:val="24"/>
        </w:rPr>
        <w:t>strategies</w:t>
      </w:r>
      <w:r w:rsidR="00CA6DDE" w:rsidRPr="008F70BE">
        <w:rPr>
          <w:rFonts w:cs="Arial"/>
          <w:bCs/>
          <w:szCs w:val="22"/>
        </w:rPr>
        <w:t xml:space="preserve">.  </w:t>
      </w:r>
    </w:p>
    <w:p w14:paraId="60B38304" w14:textId="384AC696" w:rsidR="000D331C" w:rsidRPr="008F70BE" w:rsidRDefault="00692285" w:rsidP="006419C4">
      <w:pPr>
        <w:pStyle w:val="ListParagraph"/>
        <w:numPr>
          <w:ilvl w:val="0"/>
          <w:numId w:val="12"/>
        </w:numPr>
        <w:spacing w:after="240"/>
        <w:ind w:left="567" w:hanging="425"/>
        <w:jc w:val="both"/>
        <w:rPr>
          <w:rFonts w:cs="Arial"/>
          <w:bCs/>
          <w:szCs w:val="22"/>
        </w:rPr>
      </w:pPr>
      <w:r w:rsidRPr="008F70BE">
        <w:rPr>
          <w:rFonts w:cs="Arial"/>
          <w:bCs/>
          <w:szCs w:val="22"/>
        </w:rPr>
        <w:t>Pursuant to 41A</w:t>
      </w:r>
      <w:r w:rsidR="00BA75DE">
        <w:rPr>
          <w:rFonts w:cs="Arial"/>
          <w:bCs/>
          <w:szCs w:val="22"/>
        </w:rPr>
        <w:t>(</w:t>
      </w:r>
      <w:r w:rsidRPr="008F70BE">
        <w:rPr>
          <w:rFonts w:cs="Arial"/>
          <w:bCs/>
          <w:szCs w:val="22"/>
        </w:rPr>
        <w:t>2</w:t>
      </w:r>
      <w:r w:rsidR="00BA75DE">
        <w:rPr>
          <w:rFonts w:cs="Arial"/>
          <w:bCs/>
          <w:szCs w:val="22"/>
        </w:rPr>
        <w:t>)</w:t>
      </w:r>
      <w:r w:rsidRPr="008F70BE">
        <w:rPr>
          <w:rFonts w:cs="Arial"/>
          <w:bCs/>
          <w:szCs w:val="22"/>
        </w:rPr>
        <w:t>(c)</w:t>
      </w:r>
      <w:r w:rsidR="00FD1042" w:rsidRPr="008F70BE">
        <w:rPr>
          <w:rFonts w:cs="Arial"/>
          <w:bCs/>
          <w:szCs w:val="22"/>
        </w:rPr>
        <w:t xml:space="preserve"> of the Act</w:t>
      </w:r>
      <w:r w:rsidRPr="008F70B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E81309" w:rsidRPr="008F70BE">
        <w:rPr>
          <w:rFonts w:cs="Arial"/>
          <w:bCs/>
          <w:szCs w:val="22"/>
        </w:rPr>
        <w:t xml:space="preserve">In doing so, the CIA accompanying this application has identified a number of sites including </w:t>
      </w:r>
      <w:r w:rsidR="000D331C" w:rsidRPr="008F70BE">
        <w:rPr>
          <w:rFonts w:cs="Arial"/>
          <w:bCs/>
          <w:szCs w:val="22"/>
        </w:rPr>
        <w:t xml:space="preserve">ten </w:t>
      </w:r>
      <w:r w:rsidR="00E81309" w:rsidRPr="008F70BE">
        <w:rPr>
          <w:rFonts w:cs="Arial"/>
          <w:bCs/>
          <w:szCs w:val="22"/>
        </w:rPr>
        <w:t>schools</w:t>
      </w:r>
      <w:r w:rsidR="000D331C" w:rsidRPr="008F70BE">
        <w:rPr>
          <w:rFonts w:cs="Arial"/>
          <w:bCs/>
          <w:szCs w:val="22"/>
        </w:rPr>
        <w:t xml:space="preserve"> and early childcare facilities</w:t>
      </w:r>
      <w:r w:rsidR="00E81309" w:rsidRPr="008F70BE">
        <w:rPr>
          <w:rFonts w:cs="Arial"/>
          <w:bCs/>
          <w:szCs w:val="22"/>
        </w:rPr>
        <w:t xml:space="preserve">, </w:t>
      </w:r>
      <w:r w:rsidR="000D331C" w:rsidRPr="008F70BE">
        <w:rPr>
          <w:rFonts w:cs="Arial"/>
          <w:bCs/>
          <w:szCs w:val="22"/>
        </w:rPr>
        <w:t xml:space="preserve">two </w:t>
      </w:r>
      <w:r w:rsidR="00E81309" w:rsidRPr="008F70BE">
        <w:rPr>
          <w:rFonts w:cs="Arial"/>
          <w:bCs/>
          <w:szCs w:val="22"/>
        </w:rPr>
        <w:t>churches</w:t>
      </w:r>
      <w:r w:rsidR="00FD1042" w:rsidRPr="008F70BE">
        <w:rPr>
          <w:rFonts w:cs="Arial"/>
          <w:bCs/>
          <w:szCs w:val="22"/>
        </w:rPr>
        <w:t xml:space="preserve">, </w:t>
      </w:r>
      <w:r w:rsidR="000D331C" w:rsidRPr="008F70BE">
        <w:rPr>
          <w:rFonts w:cs="Arial"/>
          <w:bCs/>
          <w:szCs w:val="22"/>
        </w:rPr>
        <w:t xml:space="preserve">several </w:t>
      </w:r>
      <w:r w:rsidR="00FD1042" w:rsidRPr="008F70BE">
        <w:rPr>
          <w:rFonts w:cs="Arial"/>
          <w:bCs/>
          <w:szCs w:val="22"/>
        </w:rPr>
        <w:t xml:space="preserve">shopping </w:t>
      </w:r>
      <w:r w:rsidR="000D331C" w:rsidRPr="008F70BE">
        <w:rPr>
          <w:rFonts w:cs="Arial"/>
          <w:bCs/>
          <w:szCs w:val="22"/>
        </w:rPr>
        <w:t>options including Casuarina Square</w:t>
      </w:r>
      <w:r w:rsidR="00FD1042" w:rsidRPr="008F70BE">
        <w:rPr>
          <w:rFonts w:cs="Arial"/>
          <w:bCs/>
          <w:szCs w:val="22"/>
        </w:rPr>
        <w:t>, several gambling help services such as</w:t>
      </w:r>
      <w:r w:rsidR="000D331C" w:rsidRPr="008F70BE">
        <w:rPr>
          <w:rFonts w:cs="Arial"/>
          <w:bCs/>
          <w:szCs w:val="22"/>
        </w:rPr>
        <w:t xml:space="preserve"> Connect Counselling Services and </w:t>
      </w:r>
      <w:proofErr w:type="spellStart"/>
      <w:r w:rsidR="000D331C" w:rsidRPr="008F70BE">
        <w:rPr>
          <w:rFonts w:cs="Arial"/>
          <w:bCs/>
          <w:szCs w:val="22"/>
        </w:rPr>
        <w:t>Sommerville</w:t>
      </w:r>
      <w:proofErr w:type="spellEnd"/>
      <w:r w:rsidR="00F37CFA" w:rsidRPr="008F70BE">
        <w:rPr>
          <w:rFonts w:cs="Arial"/>
          <w:bCs/>
          <w:szCs w:val="22"/>
        </w:rPr>
        <w:t xml:space="preserve"> </w:t>
      </w:r>
      <w:r w:rsidR="000D331C" w:rsidRPr="008F70BE">
        <w:rPr>
          <w:rFonts w:cs="Arial"/>
          <w:bCs/>
          <w:szCs w:val="22"/>
        </w:rPr>
        <w:t xml:space="preserve">Community Services as well as several sporting venues.  The CIA advises that there are no sensitive areas within 500m of the venue nor are there any sensitive areas within sight of the </w:t>
      </w:r>
      <w:r w:rsidR="000D331C" w:rsidRPr="008F70BE">
        <w:rPr>
          <w:rFonts w:cs="Arial"/>
          <w:szCs w:val="24"/>
        </w:rPr>
        <w:t>venue</w:t>
      </w:r>
      <w:r w:rsidR="000D331C" w:rsidRPr="008F70BE">
        <w:rPr>
          <w:rFonts w:cs="Arial"/>
          <w:bCs/>
          <w:szCs w:val="22"/>
        </w:rPr>
        <w:t xml:space="preserve">.  </w:t>
      </w:r>
    </w:p>
    <w:p w14:paraId="7FF8C3FB" w14:textId="22A0EA42" w:rsidR="000D331C" w:rsidRPr="008F70BE" w:rsidRDefault="000D331C" w:rsidP="006419C4">
      <w:pPr>
        <w:pStyle w:val="ListParagraph"/>
        <w:numPr>
          <w:ilvl w:val="0"/>
          <w:numId w:val="12"/>
        </w:numPr>
        <w:spacing w:after="240"/>
        <w:ind w:left="567" w:hanging="425"/>
        <w:jc w:val="both"/>
        <w:rPr>
          <w:rFonts w:cs="Arial"/>
          <w:bCs/>
          <w:szCs w:val="22"/>
        </w:rPr>
      </w:pPr>
      <w:r w:rsidRPr="008F70BE">
        <w:rPr>
          <w:rFonts w:cs="Arial"/>
          <w:bCs/>
          <w:szCs w:val="22"/>
        </w:rPr>
        <w:t>Whilst the CIA has not identified all the sensitive areas in the LCA such as Nightcliff Middle School, The Essington School, St Paul</w:t>
      </w:r>
      <w:r w:rsidR="00BA75DE">
        <w:rPr>
          <w:rFonts w:cs="Arial"/>
          <w:bCs/>
          <w:szCs w:val="22"/>
        </w:rPr>
        <w:t>’</w:t>
      </w:r>
      <w:r w:rsidRPr="008F70BE">
        <w:rPr>
          <w:rFonts w:cs="Arial"/>
          <w:bCs/>
          <w:szCs w:val="22"/>
        </w:rPr>
        <w:t>s Catholic School and the St Paul</w:t>
      </w:r>
      <w:r w:rsidR="00BA75DE">
        <w:rPr>
          <w:rFonts w:cs="Arial"/>
          <w:bCs/>
          <w:szCs w:val="22"/>
        </w:rPr>
        <w:t>’</w:t>
      </w:r>
      <w:r w:rsidRPr="008F70BE">
        <w:rPr>
          <w:rFonts w:cs="Arial"/>
          <w:bCs/>
          <w:szCs w:val="22"/>
        </w:rPr>
        <w:t xml:space="preserve">s Catholic Church, the venue is mostly surrounded by residential housing and there are several gambling help </w:t>
      </w:r>
      <w:r w:rsidRPr="008F70BE">
        <w:rPr>
          <w:rFonts w:cs="Arial"/>
          <w:szCs w:val="24"/>
        </w:rPr>
        <w:t>service</w:t>
      </w:r>
      <w:r w:rsidRPr="008F70BE">
        <w:rPr>
          <w:rFonts w:cs="Arial"/>
          <w:bCs/>
          <w:szCs w:val="22"/>
        </w:rPr>
        <w:t xml:space="preserve"> providers nearby.</w:t>
      </w:r>
    </w:p>
    <w:p w14:paraId="5094D52B" w14:textId="3AE0EA71"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14:paraId="0574580E" w14:textId="29018F7E" w:rsidR="00A704E6" w:rsidRPr="008F70BE" w:rsidRDefault="00A704E6" w:rsidP="006419C4">
      <w:pPr>
        <w:pStyle w:val="ListParagraph"/>
        <w:numPr>
          <w:ilvl w:val="0"/>
          <w:numId w:val="12"/>
        </w:numPr>
        <w:spacing w:after="240"/>
        <w:ind w:left="567" w:hanging="425"/>
        <w:jc w:val="both"/>
        <w:rPr>
          <w:rFonts w:cs="Arial"/>
          <w:bCs/>
          <w:szCs w:val="22"/>
        </w:rPr>
      </w:pPr>
      <w:r w:rsidRPr="00F1351E">
        <w:rPr>
          <w:rFonts w:cs="Arial"/>
          <w:bCs/>
          <w:szCs w:val="22"/>
        </w:rPr>
        <w:t xml:space="preserve">The CIA states that according to the 2014 report ‘Gambling Harm in the Northern Territory: An Atlas of Venue Catchments’ </w:t>
      </w:r>
      <w:r w:rsidR="0046387B" w:rsidRPr="00F1351E">
        <w:rPr>
          <w:rFonts w:cs="Arial"/>
          <w:bCs/>
          <w:szCs w:val="22"/>
        </w:rPr>
        <w:t xml:space="preserve">which was a report prepared for the Community Benefit Committee through the Department of Business in May 2014, </w:t>
      </w:r>
      <w:r w:rsidRPr="008F70BE">
        <w:rPr>
          <w:rFonts w:cs="Arial"/>
          <w:bCs/>
          <w:szCs w:val="22"/>
        </w:rPr>
        <w:t xml:space="preserve">that </w:t>
      </w:r>
      <w:r w:rsidRPr="008F70BE">
        <w:rPr>
          <w:rFonts w:cs="Arial"/>
          <w:bCs/>
          <w:i/>
          <w:szCs w:val="22"/>
        </w:rPr>
        <w:t xml:space="preserve">“85.5% of BH visitors are non-problem gamblers, 9.1% are low risk and only 0.5% are high risk’.  </w:t>
      </w:r>
      <w:r w:rsidR="0046387B" w:rsidRPr="008F70BE">
        <w:rPr>
          <w:rFonts w:cs="Arial"/>
          <w:bCs/>
          <w:szCs w:val="22"/>
        </w:rPr>
        <w:t>The</w:t>
      </w:r>
      <w:r w:rsidRPr="008F70BE">
        <w:rPr>
          <w:rFonts w:cs="Arial"/>
          <w:bCs/>
          <w:szCs w:val="22"/>
        </w:rPr>
        <w:t xml:space="preserve"> CIA advises caution in relying on these statistics however as the number of respondents to the survey used in formulating these figures was </w:t>
      </w:r>
      <w:r w:rsidR="00503996" w:rsidRPr="008F70BE">
        <w:rPr>
          <w:rFonts w:cs="Arial"/>
          <w:bCs/>
          <w:szCs w:val="22"/>
        </w:rPr>
        <w:t xml:space="preserve">only </w:t>
      </w:r>
      <w:r w:rsidR="0046387B" w:rsidRPr="008F70BE">
        <w:rPr>
          <w:rFonts w:cs="Arial"/>
          <w:bCs/>
          <w:szCs w:val="22"/>
        </w:rPr>
        <w:t>220 people and was</w:t>
      </w:r>
      <w:r w:rsidRPr="008F70BE">
        <w:rPr>
          <w:rFonts w:cs="Arial"/>
          <w:bCs/>
          <w:szCs w:val="22"/>
        </w:rPr>
        <w:t xml:space="preserve"> considered low.</w:t>
      </w:r>
    </w:p>
    <w:p w14:paraId="5C42193B" w14:textId="6A4ADA66" w:rsidR="005C47C1" w:rsidRPr="008F70BE" w:rsidRDefault="00503996" w:rsidP="006419C4">
      <w:pPr>
        <w:pStyle w:val="ListParagraph"/>
        <w:numPr>
          <w:ilvl w:val="0"/>
          <w:numId w:val="12"/>
        </w:numPr>
        <w:spacing w:after="240"/>
        <w:ind w:left="567" w:hanging="425"/>
        <w:jc w:val="both"/>
        <w:rPr>
          <w:rFonts w:cs="Arial"/>
          <w:bCs/>
          <w:szCs w:val="22"/>
        </w:rPr>
      </w:pPr>
      <w:r w:rsidRPr="008F70BE">
        <w:rPr>
          <w:rFonts w:cs="Arial"/>
          <w:bCs/>
          <w:szCs w:val="22"/>
        </w:rPr>
        <w:t xml:space="preserve">The CIA </w:t>
      </w:r>
      <w:r w:rsidR="005C47C1" w:rsidRPr="008F70BE">
        <w:rPr>
          <w:rFonts w:cs="Arial"/>
          <w:bCs/>
          <w:szCs w:val="22"/>
        </w:rPr>
        <w:t xml:space="preserve">also </w:t>
      </w:r>
      <w:r w:rsidRPr="008F70BE">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Pr="008F70BE">
        <w:rPr>
          <w:rFonts w:cs="Arial"/>
          <w:bCs/>
          <w:szCs w:val="22"/>
        </w:rPr>
        <w:t xml:space="preserve">. </w:t>
      </w:r>
    </w:p>
    <w:p w14:paraId="6B6720ED" w14:textId="568CA593" w:rsidR="00503996" w:rsidRPr="008F70BE" w:rsidRDefault="0046387B" w:rsidP="00244FF0">
      <w:pPr>
        <w:pStyle w:val="ListParagraph"/>
        <w:numPr>
          <w:ilvl w:val="0"/>
          <w:numId w:val="12"/>
        </w:numPr>
        <w:spacing w:after="240"/>
        <w:ind w:left="567" w:hanging="425"/>
        <w:jc w:val="both"/>
        <w:rPr>
          <w:rFonts w:cs="Arial"/>
          <w:bCs/>
          <w:szCs w:val="22"/>
        </w:rPr>
      </w:pPr>
      <w:r w:rsidRPr="008F70BE">
        <w:rPr>
          <w:rFonts w:cs="Arial"/>
          <w:bCs/>
          <w:szCs w:val="22"/>
        </w:rPr>
        <w:t>F</w:t>
      </w:r>
      <w:r w:rsidR="00503996" w:rsidRPr="008F70BE">
        <w:rPr>
          <w:rFonts w:cs="Arial"/>
          <w:bCs/>
          <w:szCs w:val="22"/>
        </w:rPr>
        <w:t xml:space="preserve">urther information was sought from the Applicant </w:t>
      </w:r>
      <w:r w:rsidRPr="008F70BE">
        <w:rPr>
          <w:rFonts w:cs="Arial"/>
          <w:bCs/>
          <w:szCs w:val="22"/>
        </w:rPr>
        <w:t xml:space="preserve">in relation to this application </w:t>
      </w:r>
      <w:r w:rsidR="00503996" w:rsidRPr="008F70BE">
        <w:rPr>
          <w:rFonts w:cs="Arial"/>
          <w:bCs/>
          <w:szCs w:val="22"/>
        </w:rPr>
        <w:t>and as a result</w:t>
      </w:r>
      <w:r w:rsidR="00CB7DC0" w:rsidRPr="008F70BE">
        <w:rPr>
          <w:rFonts w:cs="Arial"/>
          <w:bCs/>
          <w:szCs w:val="22"/>
        </w:rPr>
        <w:t>,</w:t>
      </w:r>
      <w:r w:rsidR="00503996" w:rsidRPr="008F70BE">
        <w:rPr>
          <w:rFonts w:cs="Arial"/>
          <w:bCs/>
          <w:szCs w:val="22"/>
        </w:rPr>
        <w:t xml:space="preserve"> a copy of the venue’s Responsible Gambling Incident Register was provided.  This register includes 13 separate entries relating to incidents that occurred in the gaming room at </w:t>
      </w:r>
      <w:r w:rsidR="00503996" w:rsidRPr="008F70BE">
        <w:rPr>
          <w:rFonts w:cs="Arial"/>
          <w:szCs w:val="24"/>
        </w:rPr>
        <w:t>the</w:t>
      </w:r>
      <w:r w:rsidR="00503996" w:rsidRPr="008F70BE">
        <w:rPr>
          <w:rFonts w:cs="Arial"/>
          <w:bCs/>
          <w:szCs w:val="22"/>
        </w:rPr>
        <w:t xml:space="preserve"> </w:t>
      </w:r>
      <w:r w:rsidRPr="008F70BE">
        <w:rPr>
          <w:rFonts w:cs="Arial"/>
          <w:bCs/>
          <w:szCs w:val="22"/>
        </w:rPr>
        <w:t>venue</w:t>
      </w:r>
      <w:r w:rsidR="00503996" w:rsidRPr="008F70BE">
        <w:rPr>
          <w:rFonts w:cs="Arial"/>
          <w:bCs/>
          <w:szCs w:val="22"/>
        </w:rPr>
        <w:t xml:space="preserve"> for the period 15 December 2013 to 14 August 2015 inclusive.  The entries predominantly refer to patron complaints, payout disputes and security related incidents. </w:t>
      </w:r>
      <w:r w:rsidR="00E34E0A">
        <w:rPr>
          <w:rFonts w:cs="Arial"/>
          <w:bCs/>
          <w:szCs w:val="22"/>
        </w:rPr>
        <w:t xml:space="preserve"> </w:t>
      </w:r>
      <w:r w:rsidR="00503996" w:rsidRPr="008F70BE">
        <w:rPr>
          <w:rFonts w:cs="Arial"/>
          <w:bCs/>
          <w:szCs w:val="22"/>
        </w:rPr>
        <w:t xml:space="preserve">None of those entries raise any concerns in respect of the management of the business </w:t>
      </w:r>
      <w:r w:rsidR="00503996" w:rsidRPr="008F70BE">
        <w:rPr>
          <w:rFonts w:cs="Arial"/>
          <w:bCs/>
          <w:szCs w:val="22"/>
        </w:rPr>
        <w:lastRenderedPageBreak/>
        <w:t>conducted under the Gaming Machine Licence or the manner in which the Applicant conducts and manages that component of the overall business of the premises.</w:t>
      </w:r>
    </w:p>
    <w:p w14:paraId="5CB23F92" w14:textId="3E934B5B" w:rsidR="00F60C05" w:rsidRPr="008F70BE" w:rsidRDefault="00CB7DC0" w:rsidP="00587446">
      <w:pPr>
        <w:pStyle w:val="ListParagraph"/>
        <w:numPr>
          <w:ilvl w:val="0"/>
          <w:numId w:val="12"/>
        </w:numPr>
        <w:spacing w:after="240"/>
        <w:ind w:left="567" w:hanging="425"/>
        <w:jc w:val="both"/>
        <w:rPr>
          <w:rFonts w:cs="Arial"/>
          <w:bCs/>
          <w:szCs w:val="22"/>
        </w:rPr>
      </w:pPr>
      <w:r w:rsidRPr="008F70BE">
        <w:rPr>
          <w:rFonts w:cs="Arial"/>
          <w:bCs/>
          <w:szCs w:val="22"/>
        </w:rPr>
        <w:t>In</w:t>
      </w:r>
      <w:r w:rsidR="00F60C05" w:rsidRPr="008F70BE">
        <w:rPr>
          <w:rFonts w:cs="Arial"/>
          <w:bCs/>
          <w:szCs w:val="22"/>
        </w:rPr>
        <w:t xml:space="preserve"> support of the Applicant’s attention to the implementation of responsible gambling practices, two particular entries stand out as being targeted towards minimising gambling harm </w:t>
      </w:r>
      <w:r w:rsidR="00F60C05" w:rsidRPr="008F70BE">
        <w:rPr>
          <w:rFonts w:cs="Arial"/>
          <w:szCs w:val="24"/>
        </w:rPr>
        <w:t>rather</w:t>
      </w:r>
      <w:r w:rsidR="00F60C05" w:rsidRPr="008F70BE">
        <w:rPr>
          <w:rFonts w:cs="Arial"/>
          <w:bCs/>
          <w:szCs w:val="22"/>
        </w:rPr>
        <w:t xml:space="preserve"> than simply addressing patron comfort and amenity. </w:t>
      </w:r>
      <w:r w:rsidR="00E34E0A">
        <w:rPr>
          <w:rFonts w:cs="Arial"/>
          <w:bCs/>
          <w:szCs w:val="22"/>
        </w:rPr>
        <w:t xml:space="preserve"> </w:t>
      </w:r>
      <w:r w:rsidR="00F60C05" w:rsidRPr="008F70BE">
        <w:rPr>
          <w:rFonts w:cs="Arial"/>
          <w:bCs/>
          <w:szCs w:val="22"/>
        </w:rPr>
        <w:t>Those interventions included querying a patron regarding the amount he had spent and counselling and removing a patron who had left children in a vehicle at the rear of the premises.</w:t>
      </w:r>
    </w:p>
    <w:p w14:paraId="42589DAA" w14:textId="77777777" w:rsidR="005C47C1" w:rsidRPr="008F70BE" w:rsidRDefault="005C47C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The policies in place at the Beachfront Hotel at present are compliant with the current Code of Practice for Responsible Gambling in the Northern Territory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14:paraId="6F106D29" w14:textId="1AE4DEE2"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14:paraId="57717527" w14:textId="6C671032" w:rsidR="00DD0C69" w:rsidRPr="008F70BE" w:rsidRDefault="00DD0C69" w:rsidP="00587446">
      <w:pPr>
        <w:pStyle w:val="ListParagraph"/>
        <w:numPr>
          <w:ilvl w:val="0"/>
          <w:numId w:val="12"/>
        </w:numPr>
        <w:spacing w:after="240"/>
        <w:ind w:left="567" w:hanging="425"/>
        <w:jc w:val="both"/>
        <w:rPr>
          <w:rFonts w:cs="Arial"/>
          <w:bCs/>
          <w:szCs w:val="22"/>
        </w:rPr>
      </w:pPr>
      <w:r w:rsidRPr="00F1351E">
        <w:rPr>
          <w:rFonts w:cs="Arial"/>
          <w:bCs/>
          <w:szCs w:val="22"/>
        </w:rPr>
        <w:t xml:space="preserve">With respect to the economic impact of the venue, the CIA states that the venue has assisted various organisations through donation and sponsorship but has limited records to support this.  The CIA states that records do indicate that in 2014, the venue provided approximately $48 000 through cash and in-kind donations to organisations such as the </w:t>
      </w:r>
      <w:r w:rsidR="000D2696" w:rsidRPr="008F70BE">
        <w:rPr>
          <w:rFonts w:cs="Arial"/>
          <w:bCs/>
          <w:szCs w:val="22"/>
        </w:rPr>
        <w:t>Nightcliff Dragons Rugby League</w:t>
      </w:r>
      <w:r w:rsidR="0021413A" w:rsidRPr="008F70BE">
        <w:rPr>
          <w:rFonts w:cs="Arial"/>
          <w:bCs/>
          <w:szCs w:val="22"/>
        </w:rPr>
        <w:t xml:space="preserve"> Club</w:t>
      </w:r>
      <w:r w:rsidR="000D2696" w:rsidRPr="008F70BE">
        <w:rPr>
          <w:rFonts w:cs="Arial"/>
          <w:bCs/>
          <w:szCs w:val="22"/>
        </w:rPr>
        <w:t xml:space="preserve">, the UGLY Leukaemia Foundation and </w:t>
      </w:r>
      <w:r w:rsidR="0021413A" w:rsidRPr="008F70BE">
        <w:rPr>
          <w:rFonts w:cs="Arial"/>
          <w:bCs/>
          <w:szCs w:val="22"/>
        </w:rPr>
        <w:t>to</w:t>
      </w:r>
      <w:r w:rsidR="000D2696" w:rsidRPr="008F70BE">
        <w:rPr>
          <w:rFonts w:cs="Arial"/>
          <w:bCs/>
          <w:szCs w:val="22"/>
        </w:rPr>
        <w:t xml:space="preserve"> Aiden Waits Illness Treatment.  </w:t>
      </w:r>
      <w:r w:rsidRPr="008F70BE">
        <w:rPr>
          <w:rFonts w:cs="Arial"/>
          <w:bCs/>
          <w:szCs w:val="22"/>
        </w:rPr>
        <w:t>Additionally, the CIA states that the venue has also paid over $300 000 into the Community Benefit Fund.</w:t>
      </w:r>
      <w:r w:rsidR="00E62781" w:rsidRPr="008F70BE">
        <w:rPr>
          <w:rFonts w:cs="Arial"/>
          <w:bCs/>
          <w:szCs w:val="22"/>
        </w:rPr>
        <w:t xml:space="preserve">  Based on projection</w:t>
      </w:r>
      <w:r w:rsidR="0021413A" w:rsidRPr="008F70BE">
        <w:rPr>
          <w:rFonts w:cs="Arial"/>
          <w:bCs/>
          <w:szCs w:val="22"/>
        </w:rPr>
        <w:t>s</w:t>
      </w:r>
      <w:r w:rsidR="00E62781" w:rsidRPr="008F70BE">
        <w:rPr>
          <w:rFonts w:cs="Arial"/>
          <w:bCs/>
          <w:szCs w:val="22"/>
        </w:rPr>
        <w:t>, the CIA states that donations to the community in 2015 will rise to $49 700 and by 2019 will be $82 600.  Similarly, the projections in relation to payments to the Community Benefit Fund will rise progressively from $109 300 in 2015 to approximately $181 800 by 2019.</w:t>
      </w:r>
    </w:p>
    <w:p w14:paraId="75DA0D90" w14:textId="1247BBD9" w:rsidR="000D2696" w:rsidRPr="008F70BE" w:rsidRDefault="000D2696" w:rsidP="00587446">
      <w:pPr>
        <w:pStyle w:val="ListParagraph"/>
        <w:numPr>
          <w:ilvl w:val="0"/>
          <w:numId w:val="12"/>
        </w:numPr>
        <w:spacing w:after="240"/>
        <w:ind w:left="567" w:hanging="425"/>
        <w:jc w:val="both"/>
        <w:rPr>
          <w:rFonts w:cs="Arial"/>
          <w:bCs/>
          <w:szCs w:val="22"/>
        </w:rPr>
      </w:pPr>
      <w:r w:rsidRPr="008F70BE">
        <w:rPr>
          <w:rFonts w:cs="Arial"/>
          <w:bCs/>
          <w:szCs w:val="22"/>
        </w:rPr>
        <w:t>The CIA states that the venue currently employs 35 staff with most coming from within the LCA and that they anticipate that additional staff may be required should the application be approved although there is no further exploration of this within the CIA to indicate to what level</w:t>
      </w:r>
      <w:r w:rsidR="00E34E0A">
        <w:rPr>
          <w:rFonts w:cs="Arial"/>
          <w:bCs/>
          <w:szCs w:val="22"/>
        </w:rPr>
        <w:t xml:space="preserve"> </w:t>
      </w:r>
      <w:r w:rsidRPr="008F70BE">
        <w:rPr>
          <w:rFonts w:cs="Arial"/>
          <w:szCs w:val="24"/>
        </w:rPr>
        <w:t>further</w:t>
      </w:r>
      <w:r w:rsidRPr="008F70BE">
        <w:rPr>
          <w:rFonts w:cs="Arial"/>
          <w:bCs/>
          <w:szCs w:val="22"/>
        </w:rPr>
        <w:t xml:space="preserve"> staff may be required.</w:t>
      </w:r>
    </w:p>
    <w:p w14:paraId="37F668C0" w14:textId="411A9F7A" w:rsidR="000D2696" w:rsidRPr="008F70BE" w:rsidRDefault="00D17A30" w:rsidP="00587446">
      <w:pPr>
        <w:pStyle w:val="ListParagraph"/>
        <w:numPr>
          <w:ilvl w:val="0"/>
          <w:numId w:val="12"/>
        </w:numPr>
        <w:spacing w:after="240"/>
        <w:ind w:left="567" w:hanging="425"/>
        <w:jc w:val="both"/>
        <w:rPr>
          <w:rFonts w:cs="Arial"/>
          <w:bCs/>
          <w:szCs w:val="22"/>
        </w:rPr>
      </w:pPr>
      <w:r w:rsidRPr="008F70BE">
        <w:rPr>
          <w:rFonts w:cs="Arial"/>
          <w:bCs/>
          <w:szCs w:val="22"/>
        </w:rPr>
        <w:t xml:space="preserve">The CIA states that data from the Census of 2011 indicates that 7.6% of the persons present in the LCA on census night were visitors.  The CIA also presents a large amount of data pertaining to tourism however this data is of little value in assessing this application as the data relates to the Darwin region as a whole and is not able to be drilled down as to the impact of </w:t>
      </w:r>
      <w:r w:rsidRPr="008F70BE">
        <w:rPr>
          <w:rFonts w:cs="Arial"/>
          <w:szCs w:val="24"/>
        </w:rPr>
        <w:t>tourism</w:t>
      </w:r>
      <w:r w:rsidRPr="008F70BE">
        <w:rPr>
          <w:rFonts w:cs="Arial"/>
          <w:bCs/>
          <w:szCs w:val="22"/>
        </w:rPr>
        <w:t xml:space="preserve"> </w:t>
      </w:r>
      <w:proofErr w:type="gramStart"/>
      <w:r w:rsidRPr="008F70BE">
        <w:rPr>
          <w:rFonts w:cs="Arial"/>
          <w:bCs/>
          <w:szCs w:val="22"/>
        </w:rPr>
        <w:t>on the LCA nor</w:t>
      </w:r>
      <w:proofErr w:type="gramEnd"/>
      <w:r w:rsidRPr="008F70BE">
        <w:rPr>
          <w:rFonts w:cs="Arial"/>
          <w:bCs/>
          <w:szCs w:val="22"/>
        </w:rPr>
        <w:t xml:space="preserve"> specifically in relation to the venue</w:t>
      </w:r>
      <w:r w:rsidR="000D2696" w:rsidRPr="008F70BE">
        <w:rPr>
          <w:rFonts w:cs="Arial"/>
          <w:bCs/>
          <w:szCs w:val="22"/>
        </w:rPr>
        <w:t xml:space="preserve"> itself</w:t>
      </w:r>
      <w:r w:rsidRPr="008F70BE">
        <w:rPr>
          <w:rFonts w:cs="Arial"/>
          <w:bCs/>
          <w:szCs w:val="22"/>
        </w:rPr>
        <w:t>.</w:t>
      </w:r>
      <w:r w:rsidR="0021413A" w:rsidRPr="008F70BE">
        <w:rPr>
          <w:rFonts w:cs="Arial"/>
          <w:bCs/>
          <w:szCs w:val="22"/>
        </w:rPr>
        <w:t xml:space="preserve">  </w:t>
      </w:r>
    </w:p>
    <w:p w14:paraId="30708A0F" w14:textId="1CC942B4" w:rsidR="000D2696" w:rsidRPr="008F70BE" w:rsidRDefault="000D2696" w:rsidP="00587446">
      <w:pPr>
        <w:pStyle w:val="ListParagraph"/>
        <w:numPr>
          <w:ilvl w:val="0"/>
          <w:numId w:val="12"/>
        </w:numPr>
        <w:spacing w:after="240"/>
        <w:ind w:left="567" w:hanging="425"/>
        <w:jc w:val="both"/>
        <w:rPr>
          <w:rFonts w:cs="Arial"/>
          <w:szCs w:val="24"/>
        </w:rPr>
      </w:pPr>
      <w:r w:rsidRPr="008F70BE">
        <w:rPr>
          <w:rFonts w:cs="Arial"/>
          <w:bCs/>
          <w:szCs w:val="22"/>
        </w:rPr>
        <w:t xml:space="preserve">The CIA </w:t>
      </w:r>
      <w:r w:rsidR="0021413A" w:rsidRPr="008F70BE">
        <w:rPr>
          <w:rFonts w:cs="Arial"/>
          <w:bCs/>
          <w:szCs w:val="22"/>
        </w:rPr>
        <w:t xml:space="preserve">reports that </w:t>
      </w:r>
      <w:r w:rsidRPr="008F70BE">
        <w:rPr>
          <w:rFonts w:cs="Arial"/>
          <w:bCs/>
          <w:szCs w:val="22"/>
        </w:rPr>
        <w:t xml:space="preserve">contact </w:t>
      </w:r>
      <w:r w:rsidR="0021413A" w:rsidRPr="008F70BE">
        <w:rPr>
          <w:rFonts w:cs="Arial"/>
          <w:bCs/>
          <w:szCs w:val="22"/>
        </w:rPr>
        <w:t xml:space="preserve">was made with </w:t>
      </w:r>
      <w:r w:rsidRPr="008F70BE">
        <w:rPr>
          <w:rFonts w:cs="Arial"/>
          <w:bCs/>
          <w:szCs w:val="22"/>
        </w:rPr>
        <w:t xml:space="preserve">20 organisations </w:t>
      </w:r>
      <w:r w:rsidR="0021413A" w:rsidRPr="008F70BE">
        <w:rPr>
          <w:rFonts w:cs="Arial"/>
          <w:bCs/>
          <w:szCs w:val="22"/>
        </w:rPr>
        <w:t xml:space="preserve">in May 2015 to establish the </w:t>
      </w:r>
      <w:r w:rsidR="0021413A" w:rsidRPr="008F70BE">
        <w:rPr>
          <w:rFonts w:cs="Arial"/>
          <w:szCs w:val="24"/>
        </w:rPr>
        <w:t>community’s</w:t>
      </w:r>
      <w:r w:rsidR="0021413A" w:rsidRPr="008F70BE">
        <w:rPr>
          <w:rFonts w:cs="Arial"/>
          <w:bCs/>
          <w:szCs w:val="22"/>
        </w:rPr>
        <w:t xml:space="preserve"> perceptions to the proposed increase in gaming machines and that </w:t>
      </w:r>
      <w:r w:rsidRPr="008F70BE">
        <w:rPr>
          <w:rFonts w:cs="Arial"/>
          <w:szCs w:val="24"/>
        </w:rPr>
        <w:t xml:space="preserve">eight responses </w:t>
      </w:r>
      <w:r w:rsidR="0021413A" w:rsidRPr="008F70BE">
        <w:rPr>
          <w:rFonts w:cs="Arial"/>
          <w:szCs w:val="24"/>
        </w:rPr>
        <w:t>were r</w:t>
      </w:r>
      <w:r w:rsidRPr="008F70BE">
        <w:rPr>
          <w:rFonts w:cs="Arial"/>
          <w:szCs w:val="24"/>
        </w:rPr>
        <w:t>eceived</w:t>
      </w:r>
      <w:proofErr w:type="gramStart"/>
      <w:r w:rsidRPr="008F70BE">
        <w:rPr>
          <w:rFonts w:cs="Arial"/>
          <w:szCs w:val="24"/>
        </w:rPr>
        <w:t xml:space="preserve">. </w:t>
      </w:r>
      <w:r w:rsidR="00E34E0A">
        <w:rPr>
          <w:rFonts w:cs="Arial"/>
          <w:szCs w:val="24"/>
        </w:rPr>
        <w:t xml:space="preserve"> </w:t>
      </w:r>
      <w:proofErr w:type="gramEnd"/>
      <w:r w:rsidRPr="008F70BE">
        <w:rPr>
          <w:rFonts w:cs="Arial"/>
          <w:szCs w:val="24"/>
        </w:rPr>
        <w:t xml:space="preserve">Six out of the eight </w:t>
      </w:r>
      <w:r w:rsidR="0021413A" w:rsidRPr="008F70BE">
        <w:rPr>
          <w:rFonts w:cs="Arial"/>
          <w:szCs w:val="24"/>
        </w:rPr>
        <w:t xml:space="preserve">responses </w:t>
      </w:r>
      <w:r w:rsidRPr="008F70BE">
        <w:rPr>
          <w:rFonts w:cs="Arial"/>
          <w:szCs w:val="24"/>
        </w:rPr>
        <w:t>did not support the application and indicated they believed there would be a negative effect on the community, whil</w:t>
      </w:r>
      <w:r w:rsidR="00CB7DC0" w:rsidRPr="008F70BE">
        <w:rPr>
          <w:rFonts w:cs="Arial"/>
          <w:szCs w:val="24"/>
        </w:rPr>
        <w:t>st</w:t>
      </w:r>
      <w:r w:rsidRPr="008F70BE">
        <w:rPr>
          <w:rFonts w:cs="Arial"/>
          <w:szCs w:val="24"/>
        </w:rPr>
        <w:t xml:space="preserve"> two </w:t>
      </w:r>
      <w:r w:rsidR="00CB7DC0" w:rsidRPr="008F70BE">
        <w:rPr>
          <w:rFonts w:cs="Arial"/>
          <w:szCs w:val="24"/>
        </w:rPr>
        <w:t xml:space="preserve">respondents </w:t>
      </w:r>
      <w:r w:rsidRPr="008F70BE">
        <w:rPr>
          <w:rFonts w:cs="Arial"/>
          <w:szCs w:val="24"/>
        </w:rPr>
        <w:t>did not identify any harms and were neutral to the application.</w:t>
      </w:r>
      <w:r w:rsidR="00E34E0A">
        <w:rPr>
          <w:rFonts w:cs="Arial"/>
          <w:szCs w:val="24"/>
        </w:rPr>
        <w:t xml:space="preserve"> </w:t>
      </w:r>
      <w:r w:rsidRPr="008F70BE">
        <w:rPr>
          <w:rFonts w:cs="Arial"/>
          <w:szCs w:val="24"/>
        </w:rPr>
        <w:t xml:space="preserve"> No respondents supported the application.  </w:t>
      </w:r>
    </w:p>
    <w:p w14:paraId="686D23AF" w14:textId="75E5A7EF" w:rsidR="000D2696" w:rsidRPr="008F70BE" w:rsidRDefault="0021413A" w:rsidP="00587446">
      <w:pPr>
        <w:pStyle w:val="ListParagraph"/>
        <w:keepLines/>
        <w:numPr>
          <w:ilvl w:val="0"/>
          <w:numId w:val="12"/>
        </w:numPr>
        <w:spacing w:after="120"/>
        <w:ind w:left="567" w:hanging="425"/>
        <w:jc w:val="both"/>
        <w:rPr>
          <w:rFonts w:cs="Arial"/>
          <w:szCs w:val="24"/>
        </w:rPr>
      </w:pPr>
      <w:r w:rsidRPr="008F70BE">
        <w:rPr>
          <w:rFonts w:cs="Arial"/>
          <w:szCs w:val="24"/>
        </w:rPr>
        <w:t xml:space="preserve">Upon reviewing these responses, I note that a common theme among the respondents </w:t>
      </w:r>
      <w:r w:rsidR="00512F0E">
        <w:rPr>
          <w:rFonts w:cs="Arial"/>
          <w:szCs w:val="24"/>
        </w:rPr>
        <w:t>is</w:t>
      </w:r>
      <w:r w:rsidRPr="008F70BE">
        <w:rPr>
          <w:rFonts w:cs="Arial"/>
          <w:szCs w:val="24"/>
        </w:rPr>
        <w:t xml:space="preserve"> that gaming machines target vulnerable groups.  I also note and with the upmost r</w:t>
      </w:r>
      <w:r w:rsidR="000D2696" w:rsidRPr="008F70BE">
        <w:rPr>
          <w:rFonts w:cs="Arial"/>
          <w:szCs w:val="24"/>
        </w:rPr>
        <w:t xml:space="preserve">espect to those organisations that did make the effort of responding to the </w:t>
      </w:r>
      <w:r w:rsidR="00CB7DC0" w:rsidRPr="008F70BE">
        <w:rPr>
          <w:rFonts w:cs="Arial"/>
          <w:szCs w:val="24"/>
        </w:rPr>
        <w:t xml:space="preserve">CIA’s </w:t>
      </w:r>
      <w:r w:rsidR="000D2696" w:rsidRPr="008F70BE">
        <w:rPr>
          <w:rFonts w:cs="Arial"/>
          <w:szCs w:val="24"/>
        </w:rPr>
        <w:t>Community Representative Survey, the number of responses received represents only 40% of the organisations contacted with no response at all from the remaining 60%.  Whilst it is not suggested that all community organisations that did not respond are positively in support of the application</w:t>
      </w:r>
      <w:r w:rsidRPr="008F70BE">
        <w:rPr>
          <w:rFonts w:cs="Arial"/>
          <w:szCs w:val="24"/>
        </w:rPr>
        <w:t>,</w:t>
      </w:r>
      <w:r w:rsidR="000D2696" w:rsidRPr="008F70BE">
        <w:rPr>
          <w:rFonts w:cs="Arial"/>
          <w:szCs w:val="24"/>
        </w:rPr>
        <w:t xml:space="preserve"> it must be accepted that their concerns if any, were not of sufficient gravity to elicit a response to the survey.</w:t>
      </w:r>
    </w:p>
    <w:p w14:paraId="757DA810" w14:textId="77777777" w:rsidR="00E30907" w:rsidRPr="008F70BE" w:rsidRDefault="000D2696" w:rsidP="00587446">
      <w:pPr>
        <w:pStyle w:val="ListParagraph"/>
        <w:numPr>
          <w:ilvl w:val="0"/>
          <w:numId w:val="12"/>
        </w:numPr>
        <w:spacing w:after="240"/>
        <w:ind w:left="567" w:hanging="425"/>
        <w:jc w:val="both"/>
        <w:rPr>
          <w:rFonts w:cs="Arial"/>
          <w:szCs w:val="24"/>
        </w:rPr>
      </w:pPr>
      <w:r w:rsidRPr="008F70BE">
        <w:rPr>
          <w:rFonts w:cs="Arial"/>
          <w:szCs w:val="24"/>
        </w:rPr>
        <w:lastRenderedPageBreak/>
        <w:t>Whilst the concerns expressed by the community organisations that did complete the survey are noted and taken into account they cannot, in my view be afforded sufficient weight to persuade me to reject the application</w:t>
      </w:r>
      <w:r w:rsidR="00CC5AF5" w:rsidRPr="008F70BE">
        <w:rPr>
          <w:rFonts w:cs="Arial"/>
          <w:szCs w:val="24"/>
        </w:rPr>
        <w:t xml:space="preserve"> on these responses alone</w:t>
      </w:r>
      <w:r w:rsidRPr="008F70BE">
        <w:rPr>
          <w:rFonts w:cs="Arial"/>
          <w:szCs w:val="24"/>
        </w:rPr>
        <w:t>.</w:t>
      </w:r>
    </w:p>
    <w:p w14:paraId="6B16B8F9" w14:textId="77777777" w:rsidR="00E30907" w:rsidRPr="00587446" w:rsidRDefault="00E30907" w:rsidP="00587446">
      <w:pPr>
        <w:pStyle w:val="Heading3"/>
      </w:pPr>
      <w:bookmarkStart w:id="0" w:name="_GoBack"/>
      <w:bookmarkEnd w:id="0"/>
      <w:r w:rsidRPr="00587446">
        <w:t>Written submissions in response to the application</w:t>
      </w:r>
    </w:p>
    <w:p w14:paraId="44F4BD8E" w14:textId="7525AC69" w:rsidR="00E30907" w:rsidRPr="00B3067F" w:rsidRDefault="00E30907" w:rsidP="00587446">
      <w:pPr>
        <w:pStyle w:val="ListParagraph"/>
        <w:numPr>
          <w:ilvl w:val="0"/>
          <w:numId w:val="12"/>
        </w:numPr>
        <w:spacing w:after="240"/>
        <w:ind w:left="567" w:hanging="425"/>
        <w:jc w:val="both"/>
        <w:rPr>
          <w:rFonts w:cs="Arial"/>
          <w:szCs w:val="24"/>
        </w:rPr>
      </w:pPr>
      <w:r w:rsidRPr="00655618">
        <w:rPr>
          <w:rFonts w:cs="Arial"/>
          <w:szCs w:val="24"/>
        </w:rPr>
        <w:t xml:space="preserve">As required by section 41B of the Act, </w:t>
      </w:r>
      <w:r w:rsidR="007B6A96" w:rsidRPr="00655618">
        <w:rPr>
          <w:rFonts w:cs="Arial"/>
          <w:szCs w:val="24"/>
        </w:rPr>
        <w:t xml:space="preserve">notification of </w:t>
      </w:r>
      <w:r w:rsidRPr="00655618">
        <w:rPr>
          <w:rFonts w:cs="Arial"/>
          <w:szCs w:val="24"/>
        </w:rPr>
        <w:t xml:space="preserve">the application was advertised in the Northern Territory News on 1 August 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within 30 days of the notification.  One submission</w:t>
      </w:r>
      <w:r w:rsidR="00F37CFA" w:rsidRPr="00B3067F">
        <w:rPr>
          <w:rFonts w:cs="Arial"/>
          <w:szCs w:val="24"/>
        </w:rPr>
        <w:t xml:space="preserve"> </w:t>
      </w:r>
      <w:r w:rsidR="007B6A96" w:rsidRPr="00B3067F">
        <w:rPr>
          <w:rFonts w:cs="Arial"/>
          <w:szCs w:val="24"/>
        </w:rPr>
        <w:t xml:space="preserve">was </w:t>
      </w:r>
      <w:r w:rsidRPr="00B3067F">
        <w:rPr>
          <w:rFonts w:cs="Arial"/>
          <w:szCs w:val="24"/>
        </w:rPr>
        <w:t xml:space="preserve">received from Amity </w:t>
      </w:r>
      <w:r w:rsidR="007B6A96" w:rsidRPr="00B3067F">
        <w:rPr>
          <w:rFonts w:cs="Arial"/>
          <w:szCs w:val="24"/>
        </w:rPr>
        <w:t xml:space="preserve">Community Services </w:t>
      </w:r>
      <w:proofErr w:type="spellStart"/>
      <w:r w:rsidR="007B6A96" w:rsidRPr="00B3067F">
        <w:rPr>
          <w:rFonts w:cs="Arial"/>
          <w:szCs w:val="24"/>
        </w:rPr>
        <w:t>Inc</w:t>
      </w:r>
      <w:proofErr w:type="spellEnd"/>
      <w:r w:rsidR="00F15ED0" w:rsidRPr="00B3067F">
        <w:rPr>
          <w:rFonts w:cs="Arial"/>
          <w:szCs w:val="24"/>
        </w:rPr>
        <w:t xml:space="preserve">, </w:t>
      </w:r>
      <w:r w:rsidR="005E4681" w:rsidRPr="00B3067F">
        <w:rPr>
          <w:rFonts w:cs="Arial"/>
          <w:szCs w:val="24"/>
        </w:rPr>
        <w:t>(</w:t>
      </w:r>
      <w:r w:rsidR="00E34E0A">
        <w:rPr>
          <w:rFonts w:cs="Arial"/>
          <w:szCs w:val="24"/>
        </w:rPr>
        <w:t>“</w:t>
      </w:r>
      <w:r w:rsidR="005E4681" w:rsidRPr="00B3067F">
        <w:rPr>
          <w:rFonts w:cs="Arial"/>
          <w:szCs w:val="24"/>
        </w:rPr>
        <w:t>Amity</w:t>
      </w:r>
      <w:r w:rsidR="00E34E0A">
        <w:rPr>
          <w:rFonts w:cs="Arial"/>
          <w:szCs w:val="24"/>
        </w:rPr>
        <w:t>”</w:t>
      </w:r>
      <w:r w:rsidR="005E4681" w:rsidRPr="00B3067F">
        <w:rPr>
          <w:rFonts w:cs="Arial"/>
          <w:szCs w:val="24"/>
        </w:rPr>
        <w:t xml:space="preserve">) </w:t>
      </w:r>
      <w:r w:rsidR="007B6A96" w:rsidRPr="00B3067F">
        <w:rPr>
          <w:rFonts w:cs="Arial"/>
          <w:szCs w:val="24"/>
        </w:rPr>
        <w:t xml:space="preserve">with the </w:t>
      </w:r>
      <w:r w:rsidRPr="00B3067F">
        <w:rPr>
          <w:rFonts w:cs="Arial"/>
          <w:szCs w:val="24"/>
        </w:rPr>
        <w:t>submission</w:t>
      </w:r>
      <w:r w:rsidR="007B6A96" w:rsidRPr="00B3067F">
        <w:rPr>
          <w:rFonts w:cs="Arial"/>
          <w:szCs w:val="24"/>
        </w:rPr>
        <w:t xml:space="preserve"> being in the </w:t>
      </w:r>
      <w:r w:rsidRPr="00B3067F">
        <w:rPr>
          <w:rFonts w:cs="Arial"/>
          <w:szCs w:val="24"/>
        </w:rPr>
        <w:t xml:space="preserve">form of a position paper in respect of the application. </w:t>
      </w:r>
    </w:p>
    <w:p w14:paraId="7C18DA9B" w14:textId="45FC718F" w:rsidR="00E30907" w:rsidRPr="00B3067F" w:rsidRDefault="00F15ED0" w:rsidP="00587446">
      <w:pPr>
        <w:pStyle w:val="ListParagraph"/>
        <w:numPr>
          <w:ilvl w:val="0"/>
          <w:numId w:val="12"/>
        </w:numPr>
        <w:spacing w:after="240"/>
        <w:ind w:left="567" w:hanging="425"/>
        <w:jc w:val="both"/>
        <w:rPr>
          <w:rFonts w:cs="Arial"/>
          <w:szCs w:val="24"/>
        </w:rPr>
      </w:pPr>
      <w:r w:rsidRPr="00B3067F">
        <w:rPr>
          <w:rFonts w:cs="Arial"/>
          <w:bCs/>
          <w:szCs w:val="22"/>
        </w:rPr>
        <w:t xml:space="preserve">The submission </w:t>
      </w:r>
      <w:r w:rsidR="00E30907" w:rsidRPr="00B3067F">
        <w:rPr>
          <w:rFonts w:cs="Arial"/>
          <w:bCs/>
          <w:szCs w:val="22"/>
        </w:rPr>
        <w:t>states that Amity has been working in the area of gambling for over two decades and</w:t>
      </w:r>
      <w:r w:rsidR="00E30907"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14:paraId="60876D55" w14:textId="1D1319C1"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B3067F">
        <w:rPr>
          <w:rFonts w:cs="Arial"/>
          <w:szCs w:val="24"/>
        </w:rPr>
        <w:t xml:space="preserve">. </w:t>
      </w:r>
      <w:r w:rsidR="00E34E0A">
        <w:rPr>
          <w:rFonts w:cs="Arial"/>
          <w:szCs w:val="24"/>
        </w:rPr>
        <w:t xml:space="preserve"> </w:t>
      </w:r>
      <w:proofErr w:type="gramEnd"/>
      <w:r w:rsidRPr="00B3067F">
        <w:rPr>
          <w:rFonts w:cs="Arial"/>
          <w:szCs w:val="24"/>
        </w:rPr>
        <w:t xml:space="preserve">Amity provides its services throughout the </w:t>
      </w:r>
      <w:r w:rsidR="00F15ED0" w:rsidRPr="00B3067F">
        <w:rPr>
          <w:rFonts w:cs="Arial"/>
          <w:szCs w:val="24"/>
        </w:rPr>
        <w:t xml:space="preserve">Northern </w:t>
      </w:r>
      <w:r w:rsidRPr="00B3067F">
        <w:rPr>
          <w:rFonts w:cs="Arial"/>
          <w:szCs w:val="24"/>
        </w:rPr>
        <w:t>Territory with the aim of implementing harm minimisation strategies for safer gambling.</w:t>
      </w:r>
    </w:p>
    <w:p w14:paraId="467A4DD7" w14:textId="6CA2C64A"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does not support the application to increase the gaming machines at the Beachfront Hotel, or generally throughout licensed venues and clubs in the Northern Territory community.</w:t>
      </w:r>
      <w:r w:rsidR="005E4681" w:rsidRPr="00B3067F">
        <w:rPr>
          <w:rFonts w:cs="Arial"/>
          <w:szCs w:val="24"/>
        </w:rPr>
        <w:t xml:space="preserve">  </w:t>
      </w:r>
      <w:r w:rsidRPr="00B3067F">
        <w:rPr>
          <w:rFonts w:cs="Arial"/>
          <w:szCs w:val="24"/>
        </w:rPr>
        <w:t xml:space="preserve">Amity is of the view, based on the </w:t>
      </w:r>
      <w:r w:rsidR="005E4681" w:rsidRPr="00B3067F">
        <w:rPr>
          <w:rFonts w:cs="Arial"/>
          <w:szCs w:val="24"/>
        </w:rPr>
        <w:t xml:space="preserve">their review of the </w:t>
      </w:r>
      <w:r w:rsidRPr="00B3067F">
        <w:rPr>
          <w:rFonts w:cs="Arial"/>
          <w:szCs w:val="24"/>
        </w:rPr>
        <w:t>balance of research on the issue of gambling outcomes, that an increase in gaming machines in the community will have an overall negative effect on the health, social and economic welfare of at least a proportio</w:t>
      </w:r>
      <w:r w:rsidR="005E4681" w:rsidRPr="00B3067F">
        <w:rPr>
          <w:rFonts w:cs="Arial"/>
          <w:szCs w:val="24"/>
        </w:rPr>
        <w:t>n of the population of the N</w:t>
      </w:r>
      <w:r w:rsidR="00CC768C" w:rsidRPr="00B3067F">
        <w:rPr>
          <w:rFonts w:cs="Arial"/>
          <w:szCs w:val="24"/>
        </w:rPr>
        <w:t xml:space="preserve">orthern </w:t>
      </w:r>
      <w:r w:rsidR="005E4681" w:rsidRPr="00B3067F">
        <w:rPr>
          <w:rFonts w:cs="Arial"/>
          <w:szCs w:val="24"/>
        </w:rPr>
        <w:t>T</w:t>
      </w:r>
      <w:r w:rsidR="00CC768C" w:rsidRPr="00B3067F">
        <w:rPr>
          <w:rFonts w:cs="Arial"/>
          <w:szCs w:val="24"/>
        </w:rPr>
        <w:t>erritory</w:t>
      </w:r>
      <w:r w:rsidR="005E4681" w:rsidRPr="00B3067F">
        <w:rPr>
          <w:rFonts w:cs="Arial"/>
          <w:szCs w:val="24"/>
        </w:rPr>
        <w:t>.</w:t>
      </w:r>
    </w:p>
    <w:p w14:paraId="5D090386" w14:textId="3FAF57EA"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w:t>
      </w:r>
      <w:r w:rsidR="00CC768C" w:rsidRPr="00B3067F">
        <w:rPr>
          <w:rFonts w:cs="Arial"/>
          <w:szCs w:val="24"/>
        </w:rPr>
        <w:t xml:space="preserve">orthern </w:t>
      </w:r>
      <w:r w:rsidRPr="00B3067F">
        <w:rPr>
          <w:rFonts w:cs="Arial"/>
          <w:szCs w:val="24"/>
        </w:rPr>
        <w:t>T</w:t>
      </w:r>
      <w:r w:rsidR="00CC768C" w:rsidRPr="00B3067F">
        <w:rPr>
          <w:rFonts w:cs="Arial"/>
          <w:szCs w:val="24"/>
        </w:rPr>
        <w:t>erritory</w:t>
      </w:r>
      <w:r w:rsidRPr="00B3067F">
        <w:rPr>
          <w:rFonts w:cs="Arial"/>
          <w:szCs w:val="24"/>
        </w:rPr>
        <w:t>.</w:t>
      </w:r>
    </w:p>
    <w:p w14:paraId="3DD92464" w14:textId="490926CA" w:rsidR="00E30907" w:rsidRPr="008F70BE" w:rsidRDefault="005E4681" w:rsidP="00587446">
      <w:pPr>
        <w:pStyle w:val="ListParagraph"/>
        <w:numPr>
          <w:ilvl w:val="0"/>
          <w:numId w:val="12"/>
        </w:numPr>
        <w:spacing w:after="240"/>
        <w:ind w:left="567" w:hanging="425"/>
        <w:jc w:val="both"/>
        <w:rPr>
          <w:rFonts w:cs="Arial"/>
          <w:szCs w:val="24"/>
        </w:rPr>
      </w:pPr>
      <w:r w:rsidRPr="00B3067F">
        <w:rPr>
          <w:rFonts w:cs="Arial"/>
          <w:szCs w:val="24"/>
        </w:rPr>
        <w:t>Amity states that r</w:t>
      </w:r>
      <w:r w:rsidR="00E30907" w:rsidRPr="00F1351E">
        <w:rPr>
          <w:rFonts w:cs="Arial"/>
          <w:szCs w:val="24"/>
        </w:rPr>
        <w:t xml:space="preserve">esearch further indicates </w:t>
      </w:r>
      <w:r w:rsidRPr="00F1351E">
        <w:rPr>
          <w:rFonts w:cs="Arial"/>
          <w:szCs w:val="24"/>
        </w:rPr>
        <w:t xml:space="preserve">that </w:t>
      </w:r>
      <w:r w:rsidR="00E30907" w:rsidRPr="00F1351E">
        <w:rPr>
          <w:rFonts w:cs="Arial"/>
          <w:szCs w:val="24"/>
        </w:rPr>
        <w:t>27% of the adult population in the N</w:t>
      </w:r>
      <w:r w:rsidR="00CC768C" w:rsidRPr="00F1351E">
        <w:rPr>
          <w:rFonts w:cs="Arial"/>
          <w:szCs w:val="24"/>
        </w:rPr>
        <w:t xml:space="preserve">orthern </w:t>
      </w:r>
      <w:r w:rsidR="00E30907" w:rsidRPr="00F1351E">
        <w:rPr>
          <w:rFonts w:cs="Arial"/>
          <w:szCs w:val="24"/>
        </w:rPr>
        <w:t>T</w:t>
      </w:r>
      <w:r w:rsidR="00CC768C" w:rsidRPr="00F1351E">
        <w:rPr>
          <w:rFonts w:cs="Arial"/>
          <w:szCs w:val="24"/>
        </w:rPr>
        <w:t xml:space="preserve">erritory </w:t>
      </w:r>
      <w:r w:rsidR="00E30907" w:rsidRPr="00F1351E">
        <w:rPr>
          <w:rFonts w:cs="Arial"/>
          <w:szCs w:val="24"/>
        </w:rPr>
        <w:t>participate in the use of gaming machines and problem gamblers spend on average $30</w:t>
      </w:r>
      <w:r w:rsidR="001505FB">
        <w:rPr>
          <w:rFonts w:cs="Arial"/>
          <w:szCs w:val="24"/>
        </w:rPr>
        <w:t> </w:t>
      </w:r>
      <w:r w:rsidR="00E30907" w:rsidRPr="00F1351E">
        <w:rPr>
          <w:rFonts w:cs="Arial"/>
          <w:szCs w:val="24"/>
        </w:rPr>
        <w:t>000 per annum.  During 2012-13</w:t>
      </w:r>
      <w:r w:rsidRPr="008F70BE">
        <w:rPr>
          <w:rFonts w:cs="Arial"/>
          <w:szCs w:val="24"/>
        </w:rPr>
        <w:t>, Amity state that</w:t>
      </w:r>
      <w:r w:rsidR="00E30907" w:rsidRPr="008F70BE">
        <w:rPr>
          <w:rFonts w:cs="Arial"/>
          <w:szCs w:val="24"/>
        </w:rPr>
        <w:t xml:space="preserve"> the average net loss by players in community venues (pubs &amp; clubs) in the </w:t>
      </w:r>
      <w:r w:rsidRPr="008F70BE">
        <w:rPr>
          <w:rFonts w:cs="Arial"/>
          <w:szCs w:val="24"/>
        </w:rPr>
        <w:t xml:space="preserve">Northern </w:t>
      </w:r>
      <w:r w:rsidR="00E30907" w:rsidRPr="008F70BE">
        <w:rPr>
          <w:rFonts w:cs="Arial"/>
          <w:szCs w:val="24"/>
        </w:rPr>
        <w:t>Territory was $141 per machine, per day equating to approximately $50</w:t>
      </w:r>
      <w:r w:rsidR="001505FB">
        <w:rPr>
          <w:rFonts w:cs="Arial"/>
          <w:szCs w:val="24"/>
        </w:rPr>
        <w:t> </w:t>
      </w:r>
      <w:r w:rsidR="00E30907" w:rsidRPr="008F70BE">
        <w:rPr>
          <w:rFonts w:cs="Arial"/>
          <w:szCs w:val="24"/>
        </w:rPr>
        <w:t>000 per machine per year.</w:t>
      </w:r>
    </w:p>
    <w:p w14:paraId="2F2A52BD" w14:textId="36BF6175" w:rsidR="00E30907" w:rsidRPr="008F70BE" w:rsidRDefault="00E30907" w:rsidP="00587446">
      <w:pPr>
        <w:pStyle w:val="ListParagraph"/>
        <w:keepLines/>
        <w:numPr>
          <w:ilvl w:val="0"/>
          <w:numId w:val="12"/>
        </w:numPr>
        <w:spacing w:after="240"/>
        <w:ind w:left="567" w:hanging="425"/>
        <w:jc w:val="both"/>
        <w:rPr>
          <w:rFonts w:cs="Arial"/>
          <w:szCs w:val="24"/>
        </w:rPr>
      </w:pPr>
      <w:r w:rsidRPr="008F70BE">
        <w:rPr>
          <w:rFonts w:cs="Arial"/>
          <w:szCs w:val="24"/>
        </w:rPr>
        <w:t>Amity submits that Darwin has a general population of 81</w:t>
      </w:r>
      <w:r w:rsidR="001505FB">
        <w:rPr>
          <w:rFonts w:cs="Arial"/>
          <w:szCs w:val="24"/>
        </w:rPr>
        <w:t xml:space="preserve"> </w:t>
      </w:r>
      <w:r w:rsidRPr="008F70BE">
        <w:rPr>
          <w:rFonts w:cs="Arial"/>
          <w:szCs w:val="24"/>
        </w:rPr>
        <w:t>670, including persons below 18</w:t>
      </w:r>
      <w:r w:rsidR="00E34E0A">
        <w:rPr>
          <w:rFonts w:cs="Arial"/>
          <w:szCs w:val="24"/>
        </w:rPr>
        <w:t> </w:t>
      </w:r>
      <w:r w:rsidRPr="008F70BE">
        <w:rPr>
          <w:rFonts w:cs="Arial"/>
          <w:szCs w:val="24"/>
        </w:rPr>
        <w:t>years of age, with 1</w:t>
      </w:r>
      <w:r w:rsidR="001505FB">
        <w:rPr>
          <w:rFonts w:cs="Arial"/>
          <w:szCs w:val="24"/>
        </w:rPr>
        <w:t xml:space="preserve"> </w:t>
      </w:r>
      <w:r w:rsidRPr="008F70BE">
        <w:rPr>
          <w:rFonts w:cs="Arial"/>
          <w:szCs w:val="24"/>
        </w:rPr>
        <w:t xml:space="preserve">191 gaming machines located in the hotels, clubs and the casino which equates to 14.6 </w:t>
      </w:r>
      <w:r w:rsidR="00CC768C" w:rsidRPr="008F70BE">
        <w:rPr>
          <w:rFonts w:cs="Arial"/>
          <w:szCs w:val="24"/>
        </w:rPr>
        <w:t>gaming machines</w:t>
      </w:r>
      <w:r w:rsidRPr="008F70BE">
        <w:rPr>
          <w:rFonts w:cs="Arial"/>
          <w:szCs w:val="24"/>
        </w:rPr>
        <w:t xml:space="preserve"> per 1</w:t>
      </w:r>
      <w:r w:rsidR="00244FF0">
        <w:rPr>
          <w:rFonts w:cs="Arial"/>
          <w:szCs w:val="24"/>
        </w:rPr>
        <w:t xml:space="preserve"> </w:t>
      </w:r>
      <w:r w:rsidRPr="008F70BE">
        <w:rPr>
          <w:rFonts w:cs="Arial"/>
          <w:szCs w:val="24"/>
        </w:rPr>
        <w:t xml:space="preserve">000 head of population.  </w:t>
      </w:r>
      <w:r w:rsidR="005E4681" w:rsidRPr="008F70BE">
        <w:rPr>
          <w:rFonts w:cs="Arial"/>
          <w:szCs w:val="24"/>
        </w:rPr>
        <w:t>Amity states that i</w:t>
      </w:r>
      <w:r w:rsidRPr="008F70BE">
        <w:rPr>
          <w:rFonts w:cs="Arial"/>
          <w:szCs w:val="24"/>
        </w:rPr>
        <w:t>n 2014</w:t>
      </w:r>
      <w:r w:rsidR="005E4681" w:rsidRPr="008F70BE">
        <w:rPr>
          <w:rFonts w:cs="Arial"/>
          <w:szCs w:val="24"/>
        </w:rPr>
        <w:t>,</w:t>
      </w:r>
      <w:r w:rsidRPr="008F70BE">
        <w:rPr>
          <w:rFonts w:cs="Arial"/>
          <w:szCs w:val="24"/>
        </w:rPr>
        <w:t xml:space="preserve"> the Australasian Gaming Council indicated that the national average for gaming machines was 11 machines per 1</w:t>
      </w:r>
      <w:r w:rsidR="00244FF0">
        <w:rPr>
          <w:rFonts w:cs="Arial"/>
          <w:szCs w:val="24"/>
        </w:rPr>
        <w:t xml:space="preserve"> </w:t>
      </w:r>
      <w:r w:rsidRPr="008F70BE">
        <w:rPr>
          <w:rFonts w:cs="Arial"/>
          <w:szCs w:val="24"/>
        </w:rPr>
        <w:t xml:space="preserve">000 adults indicating a much higher </w:t>
      </w:r>
      <w:r w:rsidR="005E4681" w:rsidRPr="008F70BE">
        <w:rPr>
          <w:rFonts w:cs="Arial"/>
          <w:szCs w:val="24"/>
        </w:rPr>
        <w:t xml:space="preserve">gaming machine </w:t>
      </w:r>
      <w:r w:rsidRPr="008F70BE">
        <w:rPr>
          <w:rFonts w:cs="Arial"/>
          <w:szCs w:val="24"/>
        </w:rPr>
        <w:t>density in Darwin compared to the national average.  Amity suggests there is a plethora of evidence that demonstrates communities experiencing widespread social and economic problems are those communities with a higher concentration of convenience gambling.</w:t>
      </w:r>
    </w:p>
    <w:p w14:paraId="288181C4" w14:textId="5100AF15" w:rsidR="000D331C" w:rsidRPr="008F70BE" w:rsidRDefault="005E468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Amity also advise that as their primary focus is on service delivery, they do not have the resources to analyse client data specifically in relation to </w:t>
      </w:r>
      <w:r w:rsidR="00AD0B03" w:rsidRPr="008F70BE">
        <w:rPr>
          <w:rFonts w:cs="Arial"/>
          <w:bCs/>
          <w:szCs w:val="22"/>
        </w:rPr>
        <w:t>the Beachfront Hotel and are therefore unable to comment on the number of individua</w:t>
      </w:r>
      <w:r w:rsidR="00C579D3" w:rsidRPr="008F70BE">
        <w:rPr>
          <w:rFonts w:cs="Arial"/>
          <w:bCs/>
          <w:szCs w:val="22"/>
        </w:rPr>
        <w:t>l</w:t>
      </w:r>
      <w:r w:rsidR="00AD0B03" w:rsidRPr="008F70BE">
        <w:rPr>
          <w:rFonts w:cs="Arial"/>
          <w:bCs/>
          <w:szCs w:val="22"/>
        </w:rPr>
        <w:t xml:space="preserve">s that have been counselled by Amity in </w:t>
      </w:r>
      <w:r w:rsidR="00AD0B03" w:rsidRPr="008F70BE">
        <w:rPr>
          <w:rFonts w:cs="Arial"/>
          <w:szCs w:val="24"/>
        </w:rPr>
        <w:t>relation</w:t>
      </w:r>
      <w:r w:rsidR="00AD0B03" w:rsidRPr="008F70BE">
        <w:rPr>
          <w:rFonts w:cs="Arial"/>
          <w:bCs/>
          <w:szCs w:val="22"/>
        </w:rPr>
        <w:t xml:space="preserve"> to gambling related issues in the last 12 months.</w:t>
      </w:r>
    </w:p>
    <w:p w14:paraId="6B1C4B3C" w14:textId="066868C6" w:rsidR="001F76BC" w:rsidRPr="008F70BE" w:rsidRDefault="001F76BC" w:rsidP="00587446">
      <w:pPr>
        <w:pStyle w:val="ListParagraph"/>
        <w:numPr>
          <w:ilvl w:val="0"/>
          <w:numId w:val="12"/>
        </w:numPr>
        <w:spacing w:after="240"/>
        <w:ind w:left="567" w:hanging="425"/>
        <w:jc w:val="both"/>
        <w:rPr>
          <w:rFonts w:cs="Arial"/>
          <w:bCs/>
          <w:szCs w:val="22"/>
        </w:rPr>
      </w:pPr>
      <w:r w:rsidRPr="008F70BE">
        <w:rPr>
          <w:rFonts w:cs="Arial"/>
          <w:bCs/>
          <w:szCs w:val="22"/>
        </w:rPr>
        <w:lastRenderedPageBreak/>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w:t>
      </w:r>
      <w:r w:rsidR="00F54FC0" w:rsidRPr="008F70BE">
        <w:rPr>
          <w:rFonts w:cs="Arial"/>
          <w:bCs/>
          <w:szCs w:val="22"/>
        </w:rPr>
        <w:t xml:space="preserve">specifically </w:t>
      </w:r>
      <w:r w:rsidRPr="008F70BE">
        <w:rPr>
          <w:rFonts w:cs="Arial"/>
          <w:bCs/>
          <w:szCs w:val="22"/>
        </w:rPr>
        <w:t>to the venue the subject of this application other than Amity are unlikely to support any application for an increase in gaming machines</w:t>
      </w:r>
      <w:r w:rsidR="00F54FC0" w:rsidRPr="008F70BE">
        <w:rPr>
          <w:rFonts w:cs="Arial"/>
          <w:bCs/>
          <w:szCs w:val="22"/>
        </w:rPr>
        <w:t>, regardless of which venue may apply</w:t>
      </w:r>
      <w:r w:rsidRPr="008F70BE">
        <w:rPr>
          <w:rFonts w:cs="Arial"/>
          <w:bCs/>
          <w:szCs w:val="22"/>
        </w:rPr>
        <w:t xml:space="preserve">.  I certainly acknowledge that Amity, like many organisations find allocating resources to </w:t>
      </w:r>
      <w:r w:rsidR="00F54FC0" w:rsidRPr="008F70BE">
        <w:rPr>
          <w:rFonts w:cs="Arial"/>
          <w:bCs/>
          <w:szCs w:val="22"/>
        </w:rPr>
        <w:t xml:space="preserve">submissions such as the one made, difficult however I am also mindful that in taking into account generalised statements in relation to the impact of gaming machines </w:t>
      </w:r>
      <w:r w:rsidR="00D80A15" w:rsidRPr="008F70BE">
        <w:rPr>
          <w:rFonts w:cs="Arial"/>
          <w:bCs/>
          <w:szCs w:val="22"/>
        </w:rPr>
        <w:t xml:space="preserve">may also be </w:t>
      </w:r>
      <w:r w:rsidR="00D80A15" w:rsidRPr="008F70BE">
        <w:rPr>
          <w:rFonts w:cs="Arial"/>
          <w:szCs w:val="24"/>
        </w:rPr>
        <w:t>considered</w:t>
      </w:r>
      <w:r w:rsidR="000C07CC" w:rsidRPr="008F70BE">
        <w:rPr>
          <w:rFonts w:cs="Arial"/>
          <w:bCs/>
          <w:szCs w:val="22"/>
        </w:rPr>
        <w:t xml:space="preserve"> by the Applicant </w:t>
      </w:r>
      <w:r w:rsidR="00D80A15" w:rsidRPr="008F70BE">
        <w:rPr>
          <w:rFonts w:cs="Arial"/>
          <w:bCs/>
          <w:szCs w:val="22"/>
        </w:rPr>
        <w:t xml:space="preserve">as an unjust approach </w:t>
      </w:r>
      <w:r w:rsidR="000C07CC" w:rsidRPr="008F70BE">
        <w:rPr>
          <w:rFonts w:cs="Arial"/>
          <w:bCs/>
          <w:szCs w:val="22"/>
        </w:rPr>
        <w:t xml:space="preserve">to </w:t>
      </w:r>
      <w:r w:rsidR="00CC768C" w:rsidRPr="008F70BE">
        <w:rPr>
          <w:rFonts w:cs="Arial"/>
          <w:bCs/>
          <w:szCs w:val="22"/>
        </w:rPr>
        <w:t>the</w:t>
      </w:r>
      <w:r w:rsidR="000C07CC" w:rsidRPr="008F70BE">
        <w:rPr>
          <w:rFonts w:cs="Arial"/>
          <w:bCs/>
          <w:szCs w:val="22"/>
        </w:rPr>
        <w:t xml:space="preserve"> assessment of this application.</w:t>
      </w:r>
      <w:r w:rsidR="00F54FC0" w:rsidRPr="008F70BE">
        <w:rPr>
          <w:rFonts w:cs="Arial"/>
          <w:bCs/>
          <w:szCs w:val="22"/>
        </w:rPr>
        <w:t xml:space="preserve"> </w:t>
      </w:r>
      <w:r w:rsidR="00BC1372">
        <w:rPr>
          <w:rFonts w:cs="Arial"/>
          <w:bCs/>
          <w:szCs w:val="22"/>
        </w:rPr>
        <w:t xml:space="preserve"> </w:t>
      </w:r>
      <w:r w:rsidR="000C07CC" w:rsidRPr="008F70BE">
        <w:rPr>
          <w:rFonts w:cs="Arial"/>
          <w:bCs/>
          <w:szCs w:val="22"/>
        </w:rPr>
        <w:t xml:space="preserve">As such, I note the generalised concerns </w:t>
      </w:r>
      <w:proofErr w:type="gramStart"/>
      <w:r w:rsidR="000C07CC" w:rsidRPr="008F70BE">
        <w:rPr>
          <w:rFonts w:cs="Arial"/>
          <w:bCs/>
          <w:szCs w:val="22"/>
        </w:rPr>
        <w:t>raised</w:t>
      </w:r>
      <w:proofErr w:type="gramEnd"/>
      <w:r w:rsidR="000C07CC" w:rsidRPr="008F70BE">
        <w:rPr>
          <w:rFonts w:cs="Arial"/>
          <w:bCs/>
          <w:szCs w:val="22"/>
        </w:rPr>
        <w:t xml:space="preserve"> by Amity however I am not of the view that these comments alone can be afforded sufficient weight to persuade me to reject the application before me.</w:t>
      </w:r>
    </w:p>
    <w:p w14:paraId="4CE63DA1" w14:textId="77777777" w:rsidR="000C07CC" w:rsidRPr="00587446" w:rsidRDefault="000C07CC" w:rsidP="00587446">
      <w:pPr>
        <w:pStyle w:val="Heading3"/>
      </w:pPr>
      <w:r w:rsidRPr="00587446">
        <w:t>Gross monthly profit of existing gaming machines operated on the premises</w:t>
      </w:r>
    </w:p>
    <w:p w14:paraId="68EEF641" w14:textId="343B6475" w:rsidR="00EE7F0E" w:rsidRPr="00B3067F" w:rsidRDefault="00EE7F0E" w:rsidP="00587446">
      <w:pPr>
        <w:pStyle w:val="ListParagraph"/>
        <w:numPr>
          <w:ilvl w:val="0"/>
          <w:numId w:val="12"/>
        </w:numPr>
        <w:spacing w:after="240"/>
        <w:ind w:left="567" w:hanging="425"/>
        <w:jc w:val="both"/>
        <w:rPr>
          <w:rFonts w:cs="Arial"/>
          <w:szCs w:val="24"/>
        </w:rPr>
      </w:pPr>
      <w:r w:rsidRPr="00655618">
        <w:rPr>
          <w:rFonts w:cs="Arial"/>
          <w:bCs/>
          <w:szCs w:val="22"/>
        </w:rPr>
        <w:t xml:space="preserve">Statistical information </w:t>
      </w:r>
      <w:r w:rsidR="00411E9B" w:rsidRPr="00655618">
        <w:rPr>
          <w:rFonts w:cs="Arial"/>
          <w:bCs/>
          <w:szCs w:val="22"/>
        </w:rPr>
        <w:t xml:space="preserve">held by Licensing NT </w:t>
      </w:r>
      <w:r w:rsidRPr="00655618">
        <w:rPr>
          <w:rFonts w:cs="Arial"/>
          <w:bCs/>
          <w:szCs w:val="22"/>
        </w:rPr>
        <w:t xml:space="preserve">indicates that for </w:t>
      </w:r>
      <w:r w:rsidRPr="00655618">
        <w:rPr>
          <w:rFonts w:cs="Arial"/>
          <w:szCs w:val="24"/>
        </w:rPr>
        <w:t>the majority of venues with gaming machines</w:t>
      </w:r>
      <w:r w:rsidR="00411E9B" w:rsidRPr="00655618">
        <w:rPr>
          <w:rFonts w:cs="Arial"/>
          <w:szCs w:val="24"/>
        </w:rPr>
        <w:t xml:space="preserve"> in the Northern Territory</w:t>
      </w:r>
      <w:r w:rsidR="00D470F0">
        <w:rPr>
          <w:rFonts w:cs="Arial"/>
          <w:szCs w:val="24"/>
        </w:rPr>
        <w:t xml:space="preserve"> for the 2014/15 financial year</w:t>
      </w:r>
      <w:r w:rsidRPr="00655618">
        <w:rPr>
          <w:rFonts w:cs="Arial"/>
          <w:szCs w:val="24"/>
        </w:rPr>
        <w:t xml:space="preserve">, the </w:t>
      </w:r>
      <w:r w:rsidRPr="00B3067F">
        <w:rPr>
          <w:rFonts w:cs="Arial"/>
          <w:bCs/>
          <w:szCs w:val="22"/>
        </w:rPr>
        <w:t xml:space="preserve">average </w:t>
      </w:r>
      <w:r w:rsidR="00D470F0">
        <w:rPr>
          <w:rFonts w:cs="Arial"/>
          <w:bCs/>
          <w:szCs w:val="22"/>
        </w:rPr>
        <w:t>gross monthly profit</w:t>
      </w:r>
      <w:r w:rsidRPr="00B3067F">
        <w:rPr>
          <w:rFonts w:cs="Arial"/>
          <w:bCs/>
          <w:szCs w:val="22"/>
        </w:rPr>
        <w:t xml:space="preserve"> is less than $</w:t>
      </w:r>
      <w:r w:rsidR="00D470F0">
        <w:rPr>
          <w:rFonts w:cs="Arial"/>
          <w:bCs/>
          <w:szCs w:val="22"/>
        </w:rPr>
        <w:t>6 000</w:t>
      </w:r>
      <w:r w:rsidRPr="00B3067F">
        <w:rPr>
          <w:rFonts w:cs="Arial"/>
          <w:bCs/>
          <w:szCs w:val="22"/>
        </w:rPr>
        <w:t xml:space="preserve"> per machine.  </w:t>
      </w:r>
      <w:r w:rsidRPr="00B3067F">
        <w:rPr>
          <w:rFonts w:cs="Arial"/>
          <w:szCs w:val="24"/>
        </w:rPr>
        <w:t>For</w:t>
      </w:r>
      <w:r w:rsidRPr="00B3067F">
        <w:rPr>
          <w:rFonts w:cs="Arial"/>
          <w:bCs/>
          <w:szCs w:val="22"/>
        </w:rPr>
        <w:t xml:space="preserve"> the Beachfront Hotel, Licensing</w:t>
      </w:r>
      <w:r w:rsidRPr="00B3067F">
        <w:rPr>
          <w:rFonts w:cs="Arial"/>
          <w:szCs w:val="24"/>
        </w:rPr>
        <w:t xml:space="preserve"> NT records</w:t>
      </w:r>
      <w:r w:rsidR="00D470F0">
        <w:rPr>
          <w:rFonts w:cs="Arial"/>
          <w:szCs w:val="24"/>
        </w:rPr>
        <w:t xml:space="preserve"> indicate</w:t>
      </w:r>
      <w:r w:rsidRPr="00B3067F">
        <w:rPr>
          <w:rFonts w:cs="Arial"/>
          <w:szCs w:val="24"/>
        </w:rPr>
        <w:t xml:space="preserve"> that the average </w:t>
      </w:r>
      <w:r w:rsidR="00D470F0">
        <w:rPr>
          <w:rFonts w:cs="Arial"/>
          <w:szCs w:val="24"/>
        </w:rPr>
        <w:t>gross monthly profit</w:t>
      </w:r>
      <w:r w:rsidRPr="00B3067F">
        <w:rPr>
          <w:rFonts w:cs="Arial"/>
          <w:szCs w:val="24"/>
        </w:rPr>
        <w:t xml:space="preserve"> per machine is </w:t>
      </w:r>
      <w:r w:rsidR="00D470F0">
        <w:rPr>
          <w:rFonts w:cs="Arial"/>
          <w:szCs w:val="24"/>
        </w:rPr>
        <w:t>just under $10 000</w:t>
      </w:r>
      <w:r w:rsidRPr="00B3067F">
        <w:rPr>
          <w:rFonts w:cs="Arial"/>
          <w:szCs w:val="24"/>
        </w:rPr>
        <w:t>.</w:t>
      </w:r>
    </w:p>
    <w:p w14:paraId="328BC346" w14:textId="1B701F70" w:rsidR="00411E9B" w:rsidRPr="00B3067F" w:rsidRDefault="00210093" w:rsidP="00587446">
      <w:pPr>
        <w:pStyle w:val="ListParagraph"/>
        <w:numPr>
          <w:ilvl w:val="0"/>
          <w:numId w:val="12"/>
        </w:numPr>
        <w:spacing w:after="240"/>
        <w:ind w:left="567" w:hanging="425"/>
        <w:jc w:val="both"/>
        <w:rPr>
          <w:rFonts w:cs="Arial"/>
          <w:szCs w:val="22"/>
        </w:rPr>
      </w:pPr>
      <w:r w:rsidRPr="00B3067F">
        <w:rPr>
          <w:rFonts w:cs="Arial"/>
          <w:szCs w:val="22"/>
        </w:rPr>
        <w:t>As explored earlier in this decision, o</w:t>
      </w:r>
      <w:r w:rsidR="00411E9B" w:rsidRPr="00B3067F">
        <w:rPr>
          <w:rFonts w:cs="Arial"/>
          <w:szCs w:val="22"/>
        </w:rPr>
        <w:t>n the basis of the financial analysis provided and Licensing NT data it is apparent that the vast majority of the venue’s revenue is generated by activity other than that generated by the gaming machines</w:t>
      </w:r>
      <w:r w:rsidRPr="00B3067F">
        <w:rPr>
          <w:rFonts w:cs="Arial"/>
          <w:szCs w:val="22"/>
        </w:rPr>
        <w:t>.</w:t>
      </w:r>
      <w:r w:rsidR="00411E9B" w:rsidRPr="00B3067F">
        <w:rPr>
          <w:rFonts w:cs="Arial"/>
          <w:szCs w:val="22"/>
        </w:rPr>
        <w:t xml:space="preserve">  </w:t>
      </w:r>
    </w:p>
    <w:p w14:paraId="383278A1" w14:textId="0A70BC62" w:rsidR="00DD7F4C" w:rsidRPr="00B3067F" w:rsidRDefault="00DD7F4C" w:rsidP="00587446">
      <w:pPr>
        <w:pStyle w:val="ListParagraph"/>
        <w:numPr>
          <w:ilvl w:val="0"/>
          <w:numId w:val="12"/>
        </w:numPr>
        <w:spacing w:after="240"/>
        <w:ind w:left="567" w:hanging="425"/>
        <w:jc w:val="both"/>
        <w:rPr>
          <w:rFonts w:cs="Arial"/>
          <w:szCs w:val="24"/>
        </w:rPr>
      </w:pPr>
      <w:r w:rsidRPr="00B3067F">
        <w:rPr>
          <w:rFonts w:cs="Arial"/>
          <w:szCs w:val="24"/>
        </w:rPr>
        <w:t>Should the application be approved</w:t>
      </w:r>
      <w:r w:rsidR="0086109D" w:rsidRPr="00B3067F">
        <w:rPr>
          <w:rFonts w:cs="Arial"/>
          <w:szCs w:val="24"/>
        </w:rPr>
        <w:t>,</w:t>
      </w:r>
      <w:r w:rsidRPr="00B3067F">
        <w:rPr>
          <w:rFonts w:cs="Arial"/>
          <w:szCs w:val="24"/>
        </w:rPr>
        <w:t xml:space="preserve"> the cost to the Applicant of installing ten additional </w:t>
      </w:r>
      <w:r w:rsidR="0086109D" w:rsidRPr="00B3067F">
        <w:rPr>
          <w:rFonts w:cs="Arial"/>
          <w:szCs w:val="24"/>
        </w:rPr>
        <w:t>gaming machines</w:t>
      </w:r>
      <w:r w:rsidRPr="00B3067F">
        <w:rPr>
          <w:rFonts w:cs="Arial"/>
          <w:szCs w:val="24"/>
        </w:rPr>
        <w:t xml:space="preserve"> will be in the order of $750</w:t>
      </w:r>
      <w:r w:rsidR="001505FB">
        <w:rPr>
          <w:rFonts w:cs="Arial"/>
          <w:szCs w:val="24"/>
        </w:rPr>
        <w:t xml:space="preserve"> </w:t>
      </w:r>
      <w:r w:rsidRPr="00B3067F">
        <w:rPr>
          <w:rFonts w:cs="Arial"/>
          <w:szCs w:val="24"/>
        </w:rPr>
        <w:t xml:space="preserve">000 comprising the application fee and prescribed levy costs together with the costs of purchasing ten additional </w:t>
      </w:r>
      <w:r w:rsidR="0086109D" w:rsidRPr="00B3067F">
        <w:rPr>
          <w:rFonts w:cs="Arial"/>
          <w:szCs w:val="24"/>
        </w:rPr>
        <w:t>gaming machines</w:t>
      </w:r>
      <w:r w:rsidRPr="00B3067F">
        <w:rPr>
          <w:rFonts w:cs="Arial"/>
          <w:szCs w:val="24"/>
        </w:rPr>
        <w:t>.</w:t>
      </w:r>
    </w:p>
    <w:p w14:paraId="034A7BB4" w14:textId="5D4EAC4D" w:rsidR="00DD7F4C" w:rsidRPr="00B3067F" w:rsidRDefault="0086109D" w:rsidP="00587446">
      <w:pPr>
        <w:pStyle w:val="ListParagraph"/>
        <w:numPr>
          <w:ilvl w:val="0"/>
          <w:numId w:val="12"/>
        </w:numPr>
        <w:spacing w:after="240"/>
        <w:ind w:left="567" w:hanging="425"/>
        <w:jc w:val="both"/>
        <w:rPr>
          <w:rFonts w:cs="Arial"/>
          <w:szCs w:val="24"/>
        </w:rPr>
      </w:pPr>
      <w:r w:rsidRPr="00B3067F">
        <w:rPr>
          <w:rFonts w:cs="Arial"/>
          <w:szCs w:val="24"/>
        </w:rPr>
        <w:t>O</w:t>
      </w:r>
      <w:r w:rsidR="00DD7F4C" w:rsidRPr="00B3067F">
        <w:rPr>
          <w:rFonts w:cs="Arial"/>
          <w:szCs w:val="24"/>
        </w:rPr>
        <w:t xml:space="preserve">uter projections for the venue </w:t>
      </w:r>
      <w:r w:rsidRPr="00B3067F">
        <w:rPr>
          <w:rFonts w:cs="Arial"/>
          <w:szCs w:val="24"/>
        </w:rPr>
        <w:t xml:space="preserve">contained within the CIA </w:t>
      </w:r>
      <w:r w:rsidR="00DD7F4C" w:rsidRPr="00B3067F">
        <w:rPr>
          <w:rFonts w:cs="Arial"/>
          <w:szCs w:val="24"/>
        </w:rPr>
        <w:t>indicate that with additional machines</w:t>
      </w:r>
      <w:r w:rsidRPr="00B3067F">
        <w:rPr>
          <w:rFonts w:cs="Arial"/>
          <w:szCs w:val="24"/>
        </w:rPr>
        <w:t>,</w:t>
      </w:r>
      <w:r w:rsidR="00DD7F4C" w:rsidRPr="00B3067F">
        <w:rPr>
          <w:rFonts w:cs="Arial"/>
          <w:szCs w:val="24"/>
        </w:rPr>
        <w:t xml:space="preserve"> gaming revenue is anticipated to increase to </w:t>
      </w:r>
      <w:r w:rsidRPr="00B3067F">
        <w:rPr>
          <w:rFonts w:cs="Arial"/>
          <w:szCs w:val="24"/>
        </w:rPr>
        <w:t>10%</w:t>
      </w:r>
      <w:r w:rsidR="00DD7F4C" w:rsidRPr="00B3067F">
        <w:rPr>
          <w:rFonts w:cs="Arial"/>
          <w:szCs w:val="24"/>
        </w:rPr>
        <w:t xml:space="preserve"> of </w:t>
      </w:r>
      <w:r w:rsidRPr="00B3067F">
        <w:rPr>
          <w:rFonts w:cs="Arial"/>
          <w:szCs w:val="24"/>
        </w:rPr>
        <w:t xml:space="preserve">total </w:t>
      </w:r>
      <w:r w:rsidR="00DD7F4C" w:rsidRPr="00B3067F">
        <w:rPr>
          <w:rFonts w:cs="Arial"/>
          <w:szCs w:val="24"/>
        </w:rPr>
        <w:t xml:space="preserve">revenue in </w:t>
      </w:r>
      <w:r w:rsidRPr="00B3067F">
        <w:rPr>
          <w:rFonts w:cs="Arial"/>
          <w:szCs w:val="24"/>
        </w:rPr>
        <w:t>2017 further</w:t>
      </w:r>
      <w:r w:rsidR="00DD7F4C" w:rsidRPr="00B3067F">
        <w:rPr>
          <w:rFonts w:cs="Arial"/>
          <w:szCs w:val="24"/>
        </w:rPr>
        <w:t xml:space="preserve"> increasing to 12% by </w:t>
      </w:r>
      <w:r w:rsidRPr="00B3067F">
        <w:rPr>
          <w:rFonts w:cs="Arial"/>
          <w:szCs w:val="24"/>
        </w:rPr>
        <w:t>20</w:t>
      </w:r>
      <w:r w:rsidR="00DD7F4C" w:rsidRPr="00B3067F">
        <w:rPr>
          <w:rFonts w:cs="Arial"/>
          <w:szCs w:val="24"/>
        </w:rPr>
        <w:t>19.  The Financial Analysis provided within the CIA indicates that the venue is currently profitable and would still be a profitable enterprise even without</w:t>
      </w:r>
      <w:r w:rsidRPr="00B3067F">
        <w:rPr>
          <w:rFonts w:cs="Arial"/>
          <w:szCs w:val="24"/>
        </w:rPr>
        <w:t xml:space="preserve"> any gaming machines</w:t>
      </w:r>
      <w:r w:rsidR="00DD7F4C" w:rsidRPr="00B3067F">
        <w:rPr>
          <w:rFonts w:cs="Arial"/>
          <w:szCs w:val="24"/>
        </w:rPr>
        <w:t>.</w:t>
      </w:r>
    </w:p>
    <w:p w14:paraId="4E81E807" w14:textId="77777777" w:rsidR="00DD7F4C" w:rsidRPr="00587446" w:rsidRDefault="00DD7F4C" w:rsidP="00587446">
      <w:pPr>
        <w:pStyle w:val="Heading3"/>
      </w:pPr>
      <w:r w:rsidRPr="00587446">
        <w:t>Hours and days when the premises are open for the sale of liquor</w:t>
      </w:r>
    </w:p>
    <w:p w14:paraId="4BC12B75" w14:textId="41543FFD" w:rsidR="00DD7F4C" w:rsidRPr="00B3067F" w:rsidRDefault="00DD7F4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Whilst the liquor trading hours vary between the different areas of the Beachfront Hotel the trading hours are generally from 10.00 am to 12.00 midnight from Sunday to </w:t>
      </w:r>
      <w:r w:rsidR="0000460D" w:rsidRPr="00655618">
        <w:rPr>
          <w:rFonts w:cs="Arial"/>
          <w:bCs/>
          <w:szCs w:val="22"/>
        </w:rPr>
        <w:t>Wednesday</w:t>
      </w:r>
      <w:r w:rsidRPr="00655618">
        <w:rPr>
          <w:rFonts w:cs="Arial"/>
          <w:bCs/>
          <w:szCs w:val="22"/>
        </w:rPr>
        <w:t xml:space="preserve"> and from 10.00 am to 2.00 </w:t>
      </w:r>
      <w:r w:rsidR="0007569C" w:rsidRPr="00655618">
        <w:rPr>
          <w:rFonts w:cs="Arial"/>
          <w:bCs/>
          <w:szCs w:val="22"/>
        </w:rPr>
        <w:t>am</w:t>
      </w:r>
      <w:r w:rsidRPr="00655618">
        <w:rPr>
          <w:rFonts w:cs="Arial"/>
          <w:bCs/>
          <w:szCs w:val="22"/>
        </w:rPr>
        <w:t xml:space="preserve"> the following day from Thursday to Saturday.  No trading is permitted on Good </w:t>
      </w:r>
      <w:r w:rsidRPr="00B3067F">
        <w:rPr>
          <w:rFonts w:cs="Arial"/>
          <w:szCs w:val="24"/>
        </w:rPr>
        <w:t>Friday</w:t>
      </w:r>
      <w:r w:rsidRPr="00655618">
        <w:rPr>
          <w:rFonts w:cs="Arial"/>
          <w:bCs/>
          <w:szCs w:val="22"/>
        </w:rPr>
        <w:t xml:space="preserve"> and Christmas </w:t>
      </w:r>
      <w:r w:rsidR="00BC1372">
        <w:rPr>
          <w:rFonts w:cs="Arial"/>
          <w:bCs/>
          <w:szCs w:val="22"/>
        </w:rPr>
        <w:t>D</w:t>
      </w:r>
      <w:r w:rsidRPr="00655618">
        <w:rPr>
          <w:rFonts w:cs="Arial"/>
          <w:bCs/>
          <w:szCs w:val="22"/>
        </w:rPr>
        <w:t>ay.</w:t>
      </w:r>
    </w:p>
    <w:p w14:paraId="5749F823" w14:textId="3DBF2E5B"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trading hours are reflective of the hours applicable to most licensed premises holding a tavern authority and allowing for late night trading i.e. until 2.00 am.  The trading hours for the Beachfront Hotel are limited to 12</w:t>
      </w:r>
      <w:r w:rsidR="0007569C" w:rsidRPr="00B3067F">
        <w:rPr>
          <w:rFonts w:cs="Arial"/>
          <w:bCs/>
          <w:szCs w:val="22"/>
        </w:rPr>
        <w:t>.00</w:t>
      </w:r>
      <w:r w:rsidRPr="00B3067F">
        <w:rPr>
          <w:rFonts w:cs="Arial"/>
          <w:bCs/>
          <w:szCs w:val="22"/>
        </w:rPr>
        <w:t xml:space="preserve"> midnight from Sunday to Wednesday inclusive due primarily to the premises being located in a residential suburb as opposed to those in the entertainment </w:t>
      </w:r>
      <w:r w:rsidRPr="00B3067F">
        <w:rPr>
          <w:rFonts w:cs="Arial"/>
          <w:szCs w:val="24"/>
        </w:rPr>
        <w:t>district</w:t>
      </w:r>
      <w:r w:rsidRPr="00B3067F">
        <w:rPr>
          <w:rFonts w:cs="Arial"/>
          <w:bCs/>
          <w:szCs w:val="22"/>
        </w:rPr>
        <w:t xml:space="preserve"> of Mitchell Street in the D</w:t>
      </w:r>
      <w:r w:rsidR="0007569C" w:rsidRPr="00B3067F">
        <w:rPr>
          <w:rFonts w:cs="Arial"/>
          <w:bCs/>
          <w:szCs w:val="22"/>
        </w:rPr>
        <w:t>arwin Central Business District.</w:t>
      </w:r>
    </w:p>
    <w:p w14:paraId="68AF235E" w14:textId="77777777" w:rsidR="00DD7F4C" w:rsidRPr="00587446" w:rsidRDefault="00DD7F4C" w:rsidP="00587446">
      <w:pPr>
        <w:pStyle w:val="Heading3"/>
      </w:pPr>
      <w:r w:rsidRPr="00587446">
        <w:t>Size, layout and facilities of the premises</w:t>
      </w:r>
    </w:p>
    <w:p w14:paraId="67D8EB7D" w14:textId="40F89726" w:rsidR="0007569C" w:rsidRPr="00B3067F" w:rsidRDefault="0007569C" w:rsidP="00587446">
      <w:pPr>
        <w:pStyle w:val="ListParagraph"/>
        <w:keepLines/>
        <w:numPr>
          <w:ilvl w:val="0"/>
          <w:numId w:val="12"/>
        </w:numPr>
        <w:spacing w:after="240"/>
        <w:ind w:left="567" w:hanging="425"/>
        <w:jc w:val="both"/>
        <w:rPr>
          <w:rFonts w:cs="Arial"/>
          <w:bCs/>
          <w:szCs w:val="22"/>
        </w:rPr>
      </w:pPr>
      <w:r w:rsidRPr="00655618">
        <w:rPr>
          <w:rFonts w:cs="Arial"/>
          <w:bCs/>
          <w:szCs w:val="22"/>
        </w:rPr>
        <w:t xml:space="preserve">As discussed earlier in this decision, information contained throughout the CIA indicates that 44% of the </w:t>
      </w:r>
      <w:r w:rsidR="00CC768C" w:rsidRPr="00655618">
        <w:rPr>
          <w:rFonts w:cs="Arial"/>
          <w:bCs/>
          <w:szCs w:val="22"/>
        </w:rPr>
        <w:t>current floor space</w:t>
      </w:r>
      <w:r w:rsidRPr="00B3067F">
        <w:rPr>
          <w:rFonts w:cs="Arial"/>
          <w:bCs/>
          <w:szCs w:val="22"/>
        </w:rPr>
        <w:t xml:space="preserve"> is used for bars, 46% is used for dining, 2% is utilised for gaming with the remaining 8% defined as being used for other.  The CIA states that these percentages of </w:t>
      </w:r>
      <w:r w:rsidRPr="00B3067F">
        <w:rPr>
          <w:rFonts w:cs="Arial"/>
          <w:szCs w:val="24"/>
        </w:rPr>
        <w:t>floor</w:t>
      </w:r>
      <w:r w:rsidRPr="00B3067F">
        <w:rPr>
          <w:rFonts w:cs="Arial"/>
          <w:bCs/>
          <w:szCs w:val="22"/>
        </w:rPr>
        <w:t xml:space="preserve"> space utilisation will not change following the planned refurbishment.</w:t>
      </w:r>
    </w:p>
    <w:p w14:paraId="7C9268F3" w14:textId="77777777" w:rsidR="0007569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Applicant advises that the additional ten gaming machines will be located in the existing </w:t>
      </w:r>
      <w:r w:rsidRPr="00B3067F">
        <w:rPr>
          <w:rFonts w:cs="Arial"/>
          <w:szCs w:val="24"/>
        </w:rPr>
        <w:t>gaming</w:t>
      </w:r>
      <w:r w:rsidRPr="00B3067F">
        <w:rPr>
          <w:rFonts w:cs="Arial"/>
          <w:bCs/>
          <w:szCs w:val="22"/>
        </w:rPr>
        <w:t xml:space="preserve"> area and no material alterations, including extending the gaming floor footprint, will be required.  </w:t>
      </w:r>
    </w:p>
    <w:p w14:paraId="4CFF579C" w14:textId="32056910" w:rsidR="0007569C" w:rsidRPr="00B3067F" w:rsidRDefault="0007569C" w:rsidP="00587446">
      <w:pPr>
        <w:pStyle w:val="ListParagraph"/>
        <w:numPr>
          <w:ilvl w:val="0"/>
          <w:numId w:val="12"/>
        </w:numPr>
        <w:spacing w:after="240"/>
        <w:ind w:left="567" w:hanging="425"/>
        <w:jc w:val="both"/>
        <w:rPr>
          <w:rFonts w:cs="Arial"/>
          <w:bCs/>
          <w:szCs w:val="22"/>
        </w:rPr>
      </w:pPr>
      <w:r w:rsidRPr="00B3067F">
        <w:rPr>
          <w:rFonts w:cs="Arial"/>
          <w:bCs/>
          <w:szCs w:val="22"/>
        </w:rPr>
        <w:lastRenderedPageBreak/>
        <w:t xml:space="preserve">As also discussed earlier in this decision, it appears that with a change to the layout of gaming machines in the gaming area, that there is sufficient space to incorporate additional gaming </w:t>
      </w:r>
      <w:r w:rsidRPr="00B3067F">
        <w:rPr>
          <w:rFonts w:cs="Arial"/>
          <w:szCs w:val="24"/>
        </w:rPr>
        <w:t>machines</w:t>
      </w:r>
      <w:r w:rsidRPr="00B3067F">
        <w:rPr>
          <w:rFonts w:cs="Arial"/>
          <w:bCs/>
          <w:szCs w:val="22"/>
        </w:rPr>
        <w:t xml:space="preserve"> if approved.</w:t>
      </w:r>
    </w:p>
    <w:p w14:paraId="21ECAA49" w14:textId="7B1AD30F"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14:paraId="53B5C314" w14:textId="2113E184"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in licensed hotels, taverns and clubs in the Northern Territory.  As well as lifting the overall cap, the amendments also provided for an increase of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14:paraId="7F09AAEE" w14:textId="03D51F25"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14:paraId="30EF7668" w14:textId="77777777"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comprehensive CIA prepared for the purpose of this application is analysed in some considerable </w:t>
      </w:r>
      <w:r w:rsidRPr="00B3067F">
        <w:rPr>
          <w:rFonts w:cs="Arial"/>
          <w:szCs w:val="24"/>
        </w:rPr>
        <w:t>detail</w:t>
      </w:r>
      <w:r w:rsidRPr="00B3067F">
        <w:rPr>
          <w:rFonts w:cs="Arial"/>
          <w:bCs/>
          <w:szCs w:val="22"/>
        </w:rPr>
        <w:t xml:space="preserve"> above and raises no issues specific to the Beachfront Hotel that would persuade me to reject the application.</w:t>
      </w:r>
    </w:p>
    <w:p w14:paraId="6D9E36B1" w14:textId="04E26665"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14:paraId="69A50601" w14:textId="62B1D979" w:rsidR="00DD7F4C" w:rsidRPr="00B3067F" w:rsidRDefault="00DD7F4C" w:rsidP="00587446">
      <w:pPr>
        <w:pStyle w:val="ListParagraph"/>
        <w:keepLines/>
        <w:numPr>
          <w:ilvl w:val="0"/>
          <w:numId w:val="12"/>
        </w:numPr>
        <w:spacing w:after="240"/>
        <w:ind w:left="567" w:hanging="425"/>
        <w:jc w:val="both"/>
        <w:rPr>
          <w:rFonts w:cs="Arial"/>
          <w:bCs/>
          <w:szCs w:val="22"/>
        </w:rPr>
      </w:pPr>
      <w:r w:rsidRPr="00B3067F">
        <w:rPr>
          <w:rFonts w:cs="Arial"/>
          <w:bCs/>
          <w:szCs w:val="22"/>
        </w:rPr>
        <w:t xml:space="preserve">Amity submitted a well-researched and evidence based position paper.  Amity clearly does not support the application, suggesting the </w:t>
      </w:r>
      <w:r w:rsidR="00674E97" w:rsidRPr="00B3067F">
        <w:rPr>
          <w:rFonts w:cs="Arial"/>
          <w:bCs/>
          <w:szCs w:val="22"/>
        </w:rPr>
        <w:t xml:space="preserve">Northern </w:t>
      </w:r>
      <w:r w:rsidRPr="00B3067F">
        <w:rPr>
          <w:rFonts w:cs="Arial"/>
          <w:bCs/>
          <w:szCs w:val="22"/>
        </w:rPr>
        <w:t xml:space="preserve">Territory is not underserved with </w:t>
      </w:r>
      <w:r w:rsidR="00674E97" w:rsidRPr="00B3067F">
        <w:rPr>
          <w:rFonts w:cs="Arial"/>
          <w:bCs/>
          <w:szCs w:val="22"/>
        </w:rPr>
        <w:t xml:space="preserve">gaming machines </w:t>
      </w:r>
      <w:r w:rsidRPr="00B3067F">
        <w:rPr>
          <w:rFonts w:cs="Arial"/>
          <w:bCs/>
          <w:szCs w:val="22"/>
        </w:rPr>
        <w:t xml:space="preserve">at </w:t>
      </w:r>
      <w:r w:rsidRPr="00B3067F">
        <w:rPr>
          <w:rFonts w:cs="Arial"/>
          <w:szCs w:val="24"/>
        </w:rPr>
        <w:t>present</w:t>
      </w:r>
      <w:r w:rsidRPr="00B3067F">
        <w:rPr>
          <w:rFonts w:cs="Arial"/>
          <w:bCs/>
          <w:szCs w:val="22"/>
        </w:rPr>
        <w:t xml:space="preserve"> and an increase in the number of </w:t>
      </w:r>
      <w:r w:rsidR="00674E97" w:rsidRPr="00B3067F">
        <w:rPr>
          <w:rFonts w:cs="Arial"/>
          <w:bCs/>
          <w:szCs w:val="22"/>
        </w:rPr>
        <w:t xml:space="preserve">gaming machines </w:t>
      </w:r>
      <w:r w:rsidRPr="00B3067F">
        <w:rPr>
          <w:rFonts w:cs="Arial"/>
          <w:bCs/>
          <w:szCs w:val="22"/>
        </w:rPr>
        <w:t xml:space="preserve">is a reflection of increasing gaming revenue which will, in Amity’s submission, have an overall negative health, social and economic impact on the community and the </w:t>
      </w:r>
      <w:r w:rsidR="00674E97" w:rsidRPr="00B3067F">
        <w:rPr>
          <w:rFonts w:cs="Arial"/>
          <w:bCs/>
          <w:szCs w:val="22"/>
        </w:rPr>
        <w:t xml:space="preserve">Northern </w:t>
      </w:r>
      <w:r w:rsidRPr="00B3067F">
        <w:rPr>
          <w:rFonts w:cs="Arial"/>
          <w:bCs/>
          <w:szCs w:val="22"/>
        </w:rPr>
        <w:t>Territory as a whole.</w:t>
      </w:r>
    </w:p>
    <w:p w14:paraId="7AE44F2B" w14:textId="41CB2678"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CIA suggests non-government agencies who responded 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14:paraId="23BE19A9" w14:textId="77777777"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Beachfront Hotel premises.</w:t>
      </w:r>
    </w:p>
    <w:p w14:paraId="4EEB3798" w14:textId="77777777" w:rsidR="00DD7F4C" w:rsidRPr="008F70BE" w:rsidRDefault="00DD7F4C" w:rsidP="00DE7143">
      <w:pPr>
        <w:pStyle w:val="ListParagraph"/>
        <w:numPr>
          <w:ilvl w:val="0"/>
          <w:numId w:val="12"/>
        </w:numPr>
        <w:spacing w:after="120"/>
        <w:ind w:left="567" w:hanging="425"/>
        <w:jc w:val="both"/>
        <w:rPr>
          <w:rFonts w:cs="Arial"/>
          <w:bCs/>
          <w:szCs w:val="22"/>
        </w:rPr>
      </w:pPr>
      <w:r w:rsidRPr="008F70BE">
        <w:rPr>
          <w:rFonts w:cs="Arial"/>
          <w:bCs/>
          <w:szCs w:val="22"/>
        </w:rPr>
        <w:t>In addition, the Applicant is known to have a good track record in venue management, both in terms of its existing liquor licence and the current gaming machine licence.  As evidenced by the Applicant’s submissions in support of the application, including the content of the CIA, the Applicant intends to incorporate strategies aimed at reducing gaming-related harm if the application is approved.</w:t>
      </w:r>
    </w:p>
    <w:p w14:paraId="68271D82" w14:textId="77777777" w:rsidR="00DD7F4C" w:rsidRPr="00587446" w:rsidRDefault="00DD7F4C" w:rsidP="00F6779E">
      <w:pPr>
        <w:pStyle w:val="Heading2"/>
      </w:pPr>
      <w:r w:rsidRPr="00587446">
        <w:lastRenderedPageBreak/>
        <w:t>Decision</w:t>
      </w:r>
    </w:p>
    <w:p w14:paraId="3FA3E9FB" w14:textId="29964915"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proofErr w:type="spellStart"/>
      <w:r w:rsidRPr="00655618">
        <w:rPr>
          <w:rFonts w:cs="Arial"/>
          <w:bCs/>
          <w:szCs w:val="22"/>
        </w:rPr>
        <w:t>Trojanmede</w:t>
      </w:r>
      <w:proofErr w:type="spellEnd"/>
      <w:r w:rsidRPr="00655618">
        <w:rPr>
          <w:rFonts w:cs="Arial"/>
          <w:bCs/>
          <w:szCs w:val="22"/>
        </w:rPr>
        <w:t xml:space="preserve"> Pty Ltd and authorise the increase of the number of </w:t>
      </w:r>
      <w:r w:rsidR="00AA16B6" w:rsidRPr="00655618">
        <w:rPr>
          <w:rFonts w:cs="Arial"/>
          <w:bCs/>
          <w:szCs w:val="22"/>
        </w:rPr>
        <w:t xml:space="preserve">gaming machines </w:t>
      </w:r>
      <w:r w:rsidRPr="00655618">
        <w:rPr>
          <w:rFonts w:cs="Arial"/>
          <w:bCs/>
          <w:szCs w:val="22"/>
        </w:rPr>
        <w:t xml:space="preserve">located at the Beachfront Hotel 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14:paraId="0E2452FA" w14:textId="283199D2"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14:paraId="0E540F4A" w14:textId="77777777" w:rsidR="00DD7F4C" w:rsidRPr="00F1351E" w:rsidRDefault="00DD7F4C" w:rsidP="00F6779E">
      <w:pPr>
        <w:pStyle w:val="Heading2"/>
      </w:pPr>
      <w:r w:rsidRPr="00F1351E">
        <w:t>Review of Decision</w:t>
      </w:r>
    </w:p>
    <w:p w14:paraId="49DB39D6" w14:textId="39470F95"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the affected persons are the A</w:t>
      </w:r>
      <w:r w:rsidRPr="00B3067F">
        <w:rPr>
          <w:rFonts w:cs="Arial"/>
          <w:bCs/>
          <w:szCs w:val="22"/>
        </w:rPr>
        <w:t>pplicant and Amity Community Services Incorporated.</w:t>
      </w:r>
    </w:p>
    <w:p w14:paraId="7A46AA2B" w14:textId="77777777"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14:paraId="03FB3540" w14:textId="77777777"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14:paraId="668D26B0" w14:textId="09CDAFA8" w:rsidR="006038D3" w:rsidRPr="00655618" w:rsidRDefault="000251D6" w:rsidP="006038D3">
      <w:pPr>
        <w:spacing w:after="120"/>
        <w:jc w:val="both"/>
        <w:rPr>
          <w:rFonts w:cs="Arial"/>
          <w:bCs/>
          <w:szCs w:val="22"/>
        </w:rPr>
      </w:pPr>
      <w:r>
        <w:rPr>
          <w:rFonts w:cs="Arial"/>
          <w:sz w:val="24"/>
          <w:szCs w:val="24"/>
        </w:rPr>
        <w:t>6 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36FE6" w14:textId="77777777" w:rsidR="00CC3330" w:rsidRDefault="00CC3330" w:rsidP="00293A72">
      <w:r>
        <w:separator/>
      </w:r>
    </w:p>
  </w:endnote>
  <w:endnote w:type="continuationSeparator" w:id="0">
    <w:p w14:paraId="07F36FE7" w14:textId="77777777" w:rsidR="00CC3330" w:rsidRDefault="00CC333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6FE9" w14:textId="5982BA36" w:rsidR="006770F2" w:rsidRDefault="006770F2" w:rsidP="006770F2">
    <w:pPr>
      <w:pStyle w:val="Footer"/>
      <w:pBdr>
        <w:top w:val="single" w:sz="4" w:space="1" w:color="auto"/>
      </w:pBdr>
      <w:tabs>
        <w:tab w:val="clear" w:pos="9639"/>
        <w:tab w:val="right" w:pos="9923"/>
      </w:tabs>
      <w:ind w:right="-285"/>
    </w:pPr>
  </w:p>
  <w:p w14:paraId="07F36FEA" w14:textId="6952D2CA"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Application for increase in Gaming Machines – Beachfront Hotel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0251D6">
          <w:rPr>
            <w:color w:val="A6A6A6" w:themeColor="background1" w:themeShade="A6"/>
            <w:sz w:val="16"/>
            <w:szCs w:val="20"/>
          </w:rPr>
          <w:t>6 November 2015</w:t>
        </w:r>
      </w:sdtContent>
    </w:sdt>
  </w:p>
  <w:p w14:paraId="07F36FEB" w14:textId="2B9BF164"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DOB2015/00486-0006</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36754">
          <w:rPr>
            <w:noProof/>
          </w:rPr>
          <w:t>10</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6FF0" w14:textId="77777777" w:rsidR="006770F2" w:rsidRDefault="006770F2" w:rsidP="006770F2">
    <w:pPr>
      <w:pStyle w:val="Footer"/>
      <w:pBdr>
        <w:top w:val="single" w:sz="4" w:space="1" w:color="auto"/>
      </w:pBdr>
      <w:tabs>
        <w:tab w:val="clear" w:pos="9639"/>
        <w:tab w:val="right" w:pos="9923"/>
      </w:tabs>
      <w:ind w:right="-285"/>
    </w:pPr>
  </w:p>
  <w:p w14:paraId="6E448067" w14:textId="77777777"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Application for increase in Gaming Machines – Beachfront Hotel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Pr>
            <w:color w:val="A6A6A6" w:themeColor="background1" w:themeShade="A6"/>
            <w:sz w:val="16"/>
            <w:szCs w:val="20"/>
          </w:rPr>
          <w:t>6 November 2015</w:t>
        </w:r>
      </w:sdtContent>
    </w:sdt>
    <w:r>
      <w:rPr>
        <w:color w:val="A6A6A6" w:themeColor="background1" w:themeShade="A6"/>
        <w:sz w:val="16"/>
        <w:szCs w:val="20"/>
      </w:rPr>
      <w:t xml:space="preserve"> </w:t>
    </w:r>
  </w:p>
  <w:p w14:paraId="07F36FF1" w14:textId="54FED565"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DOB2015/00486-0006</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136754">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36FE4" w14:textId="77777777" w:rsidR="00CC3330" w:rsidRDefault="00CC3330" w:rsidP="00293A72">
      <w:r>
        <w:separator/>
      </w:r>
    </w:p>
  </w:footnote>
  <w:footnote w:type="continuationSeparator" w:id="0">
    <w:p w14:paraId="07F36FE5" w14:textId="77777777" w:rsidR="00CC3330" w:rsidRDefault="00CC333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6FE8" w14:textId="77777777"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14:paraId="07F36FEE" w14:textId="77777777" w:rsidTr="006770F2">
      <w:trPr>
        <w:trHeight w:val="1531"/>
      </w:trPr>
      <w:tc>
        <w:tcPr>
          <w:tcW w:w="1560" w:type="dxa"/>
        </w:tcPr>
        <w:p w14:paraId="07F36FEC" w14:textId="77777777"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07F36FED" w14:textId="77777777" w:rsidR="00127D50" w:rsidRPr="004D075F" w:rsidRDefault="006770F2" w:rsidP="003630C7">
          <w:pPr>
            <w:pStyle w:val="DecisionName"/>
          </w:pPr>
          <w:r>
            <w:t>Direct</w:t>
          </w:r>
          <w:r w:rsidR="002E6443">
            <w:t>or</w:t>
          </w:r>
          <w:r>
            <w:t>-General of Licensing</w:t>
          </w:r>
        </w:p>
      </w:tc>
    </w:tr>
  </w:tbl>
  <w:p w14:paraId="07F36FEF" w14:textId="77777777"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51D6"/>
    <w:rsid w:val="00037217"/>
    <w:rsid w:val="000519A2"/>
    <w:rsid w:val="00065C4C"/>
    <w:rsid w:val="0007259C"/>
    <w:rsid w:val="0007569C"/>
    <w:rsid w:val="00090245"/>
    <w:rsid w:val="000A5093"/>
    <w:rsid w:val="000B090B"/>
    <w:rsid w:val="000B5975"/>
    <w:rsid w:val="000C07CC"/>
    <w:rsid w:val="000D0C27"/>
    <w:rsid w:val="000D2696"/>
    <w:rsid w:val="000D331C"/>
    <w:rsid w:val="000F0431"/>
    <w:rsid w:val="000F40A9"/>
    <w:rsid w:val="001041C0"/>
    <w:rsid w:val="00107C87"/>
    <w:rsid w:val="00117743"/>
    <w:rsid w:val="00117F5B"/>
    <w:rsid w:val="001250E7"/>
    <w:rsid w:val="00127D50"/>
    <w:rsid w:val="00136754"/>
    <w:rsid w:val="00140FDD"/>
    <w:rsid w:val="00141560"/>
    <w:rsid w:val="0014385B"/>
    <w:rsid w:val="001505FB"/>
    <w:rsid w:val="001552A6"/>
    <w:rsid w:val="001620E9"/>
    <w:rsid w:val="0017294F"/>
    <w:rsid w:val="00175621"/>
    <w:rsid w:val="00184EFE"/>
    <w:rsid w:val="00194D7F"/>
    <w:rsid w:val="001A2B7F"/>
    <w:rsid w:val="001E0F80"/>
    <w:rsid w:val="001F76BC"/>
    <w:rsid w:val="00206E08"/>
    <w:rsid w:val="002073A4"/>
    <w:rsid w:val="00210093"/>
    <w:rsid w:val="0021413A"/>
    <w:rsid w:val="00220937"/>
    <w:rsid w:val="00244FF0"/>
    <w:rsid w:val="00245650"/>
    <w:rsid w:val="00284A86"/>
    <w:rsid w:val="002935BE"/>
    <w:rsid w:val="00293A72"/>
    <w:rsid w:val="002A548A"/>
    <w:rsid w:val="002B0DEC"/>
    <w:rsid w:val="002E6443"/>
    <w:rsid w:val="002F2885"/>
    <w:rsid w:val="002F60ED"/>
    <w:rsid w:val="00315827"/>
    <w:rsid w:val="00322F46"/>
    <w:rsid w:val="00342283"/>
    <w:rsid w:val="00347B47"/>
    <w:rsid w:val="003630C7"/>
    <w:rsid w:val="0038496D"/>
    <w:rsid w:val="00394AAF"/>
    <w:rsid w:val="003A21D9"/>
    <w:rsid w:val="003A5D36"/>
    <w:rsid w:val="003B7A67"/>
    <w:rsid w:val="003C2211"/>
    <w:rsid w:val="003C234E"/>
    <w:rsid w:val="003C7905"/>
    <w:rsid w:val="003D2157"/>
    <w:rsid w:val="003E045C"/>
    <w:rsid w:val="003E7505"/>
    <w:rsid w:val="003F790A"/>
    <w:rsid w:val="0040222A"/>
    <w:rsid w:val="0040316A"/>
    <w:rsid w:val="004047BC"/>
    <w:rsid w:val="00411E9B"/>
    <w:rsid w:val="00416535"/>
    <w:rsid w:val="00426E25"/>
    <w:rsid w:val="0042790A"/>
    <w:rsid w:val="004423E6"/>
    <w:rsid w:val="0046387B"/>
    <w:rsid w:val="004732FE"/>
    <w:rsid w:val="004873C6"/>
    <w:rsid w:val="004A37BA"/>
    <w:rsid w:val="004E2627"/>
    <w:rsid w:val="004F4447"/>
    <w:rsid w:val="00503996"/>
    <w:rsid w:val="00512F0E"/>
    <w:rsid w:val="005257EC"/>
    <w:rsid w:val="005303FC"/>
    <w:rsid w:val="00530A50"/>
    <w:rsid w:val="00532F5C"/>
    <w:rsid w:val="00543A1E"/>
    <w:rsid w:val="00554FD1"/>
    <w:rsid w:val="005654B8"/>
    <w:rsid w:val="00570BC3"/>
    <w:rsid w:val="00587446"/>
    <w:rsid w:val="00591B49"/>
    <w:rsid w:val="005A6D6D"/>
    <w:rsid w:val="005B5AC2"/>
    <w:rsid w:val="005C47C1"/>
    <w:rsid w:val="005D1EE0"/>
    <w:rsid w:val="005D72CE"/>
    <w:rsid w:val="005D786F"/>
    <w:rsid w:val="005E24DC"/>
    <w:rsid w:val="005E4681"/>
    <w:rsid w:val="006038D3"/>
    <w:rsid w:val="006163AB"/>
    <w:rsid w:val="00630155"/>
    <w:rsid w:val="006400D3"/>
    <w:rsid w:val="006419C4"/>
    <w:rsid w:val="00650F5B"/>
    <w:rsid w:val="00655618"/>
    <w:rsid w:val="006627E4"/>
    <w:rsid w:val="00662DAD"/>
    <w:rsid w:val="006719EA"/>
    <w:rsid w:val="00674E97"/>
    <w:rsid w:val="006770F2"/>
    <w:rsid w:val="00681CE0"/>
    <w:rsid w:val="0068683B"/>
    <w:rsid w:val="00692285"/>
    <w:rsid w:val="006A2598"/>
    <w:rsid w:val="006A2710"/>
    <w:rsid w:val="006B4310"/>
    <w:rsid w:val="006C07A1"/>
    <w:rsid w:val="006C668D"/>
    <w:rsid w:val="007023AB"/>
    <w:rsid w:val="00722DDB"/>
    <w:rsid w:val="007408F5"/>
    <w:rsid w:val="00770807"/>
    <w:rsid w:val="00787D74"/>
    <w:rsid w:val="007B6A96"/>
    <w:rsid w:val="007E01C6"/>
    <w:rsid w:val="0080624F"/>
    <w:rsid w:val="00817AF1"/>
    <w:rsid w:val="008313C4"/>
    <w:rsid w:val="008516CC"/>
    <w:rsid w:val="0085544C"/>
    <w:rsid w:val="0086109D"/>
    <w:rsid w:val="00861DC3"/>
    <w:rsid w:val="0086745F"/>
    <w:rsid w:val="0087091E"/>
    <w:rsid w:val="0088588D"/>
    <w:rsid w:val="008A27E4"/>
    <w:rsid w:val="008A32EB"/>
    <w:rsid w:val="008E22F8"/>
    <w:rsid w:val="008E47CE"/>
    <w:rsid w:val="008E63B1"/>
    <w:rsid w:val="008F70BE"/>
    <w:rsid w:val="00930D60"/>
    <w:rsid w:val="00936A77"/>
    <w:rsid w:val="009616DF"/>
    <w:rsid w:val="009641E3"/>
    <w:rsid w:val="0098759C"/>
    <w:rsid w:val="009A73E5"/>
    <w:rsid w:val="009D153B"/>
    <w:rsid w:val="009D65D7"/>
    <w:rsid w:val="00A04BDC"/>
    <w:rsid w:val="00A234B1"/>
    <w:rsid w:val="00A37DDA"/>
    <w:rsid w:val="00A704E6"/>
    <w:rsid w:val="00AA16B6"/>
    <w:rsid w:val="00AD06A3"/>
    <w:rsid w:val="00AD0B03"/>
    <w:rsid w:val="00AE7B5D"/>
    <w:rsid w:val="00B12589"/>
    <w:rsid w:val="00B3067F"/>
    <w:rsid w:val="00B44012"/>
    <w:rsid w:val="00B61B26"/>
    <w:rsid w:val="00B8518A"/>
    <w:rsid w:val="00B96BD8"/>
    <w:rsid w:val="00BA75DE"/>
    <w:rsid w:val="00BB0A00"/>
    <w:rsid w:val="00BB4846"/>
    <w:rsid w:val="00BC1372"/>
    <w:rsid w:val="00BC1846"/>
    <w:rsid w:val="00BC4320"/>
    <w:rsid w:val="00BC7928"/>
    <w:rsid w:val="00BE75A5"/>
    <w:rsid w:val="00BF158B"/>
    <w:rsid w:val="00C00907"/>
    <w:rsid w:val="00C04D9C"/>
    <w:rsid w:val="00C1505C"/>
    <w:rsid w:val="00C26CCD"/>
    <w:rsid w:val="00C36B82"/>
    <w:rsid w:val="00C579D3"/>
    <w:rsid w:val="00C62099"/>
    <w:rsid w:val="00C75E81"/>
    <w:rsid w:val="00C81E12"/>
    <w:rsid w:val="00C82D5A"/>
    <w:rsid w:val="00C9363A"/>
    <w:rsid w:val="00C96786"/>
    <w:rsid w:val="00CA6DDE"/>
    <w:rsid w:val="00CB7DC0"/>
    <w:rsid w:val="00CC3330"/>
    <w:rsid w:val="00CC5AF5"/>
    <w:rsid w:val="00CC768C"/>
    <w:rsid w:val="00CD1BE0"/>
    <w:rsid w:val="00CD451C"/>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C5DD9"/>
    <w:rsid w:val="00DD0C69"/>
    <w:rsid w:val="00DD5638"/>
    <w:rsid w:val="00DD7F4C"/>
    <w:rsid w:val="00DE7143"/>
    <w:rsid w:val="00DE71E4"/>
    <w:rsid w:val="00DF0487"/>
    <w:rsid w:val="00E07444"/>
    <w:rsid w:val="00E30907"/>
    <w:rsid w:val="00E34E0A"/>
    <w:rsid w:val="00E41C2A"/>
    <w:rsid w:val="00E619FF"/>
    <w:rsid w:val="00E62781"/>
    <w:rsid w:val="00E6625A"/>
    <w:rsid w:val="00E71A10"/>
    <w:rsid w:val="00E76967"/>
    <w:rsid w:val="00E81309"/>
    <w:rsid w:val="00E823AF"/>
    <w:rsid w:val="00E85526"/>
    <w:rsid w:val="00E85A3E"/>
    <w:rsid w:val="00EA1A20"/>
    <w:rsid w:val="00EE7F0E"/>
    <w:rsid w:val="00F1351E"/>
    <w:rsid w:val="00F15C61"/>
    <w:rsid w:val="00F15ED0"/>
    <w:rsid w:val="00F31EE1"/>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F3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14:paraId="123D2861" w14:textId="77777777"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D4C43"/>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2015-11-05T14:30:00+00:00</Hearing_x0020_Date>
    <Decision_x0020_Category xmlns="28e3188d-fccf-4e87-a6b6-2e446be4517c">Policy</Decision_x0020_Category>
    <_dlc_DocId xmlns="28e3188d-fccf-4e87-a6b6-2e446be4517c">2AXQX2YYQNYC-628-8</_dlc_DocId>
    <_dlc_DocIdUrl xmlns="28e3188d-fccf-4e87-a6b6-2e446be4517c">
      <Url>http://www.dob.nt.gov.au/gambling-licensing/decisions/dg-decisions/_layouts/DocIdRedir.aspx?ID=2AXQX2YYQNYC-628-8</Url>
      <Description>2AXQX2YYQNYC-628-8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41B469-EA6E-44A2-92BA-F2CE3E4EB6BC}"/>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021B0EDF-65E7-408F-BAB1-350EB1BF121B}"/>
</file>

<file path=customXml/itemProps5.xml><?xml version="1.0" encoding="utf-8"?>
<ds:datastoreItem xmlns:ds="http://schemas.openxmlformats.org/officeDocument/2006/customXml" ds:itemID="{63D4D2CB-9230-4A13-925D-E2FF3B5EB56D}"/>
</file>

<file path=docProps/app.xml><?xml version="1.0" encoding="utf-8"?>
<Properties xmlns="http://schemas.openxmlformats.org/officeDocument/2006/extended-properties" xmlns:vt="http://schemas.openxmlformats.org/officeDocument/2006/docPropsVTypes">
  <Template>Normal.dotm</Template>
  <TotalTime>97</TotalTime>
  <Pages>10</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 Application for increase in Gaming Machines</dc:title>
  <dc:creator>Cindy Bravos</dc:creator>
  <cp:lastModifiedBy>Marlene Woods</cp:lastModifiedBy>
  <cp:revision>9</cp:revision>
  <cp:lastPrinted>2015-11-06T03:48:00Z</cp:lastPrinted>
  <dcterms:created xsi:type="dcterms:W3CDTF">2015-11-06T02:26:00Z</dcterms:created>
  <dcterms:modified xsi:type="dcterms:W3CDTF">2015-11-10T00:50:00Z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59da8c5a-47b3-45d0-8e20-a736d80dea1e</vt:lpwstr>
  </property>
</Properties>
</file>