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D715D0" w:rsidRDefault="001E275A" w:rsidP="00684636">
      <w:pPr>
        <w:spacing w:before="120" w:after="0"/>
        <w:jc w:val="both"/>
        <w:rPr>
          <w:rFonts w:cs="Arial"/>
        </w:rPr>
      </w:pPr>
      <w:r w:rsidRPr="00D71826">
        <w:rPr>
          <w:rFonts w:cs="Arial"/>
        </w:rPr>
        <w:t xml:space="preserve">In </w:t>
      </w:r>
      <w:r w:rsidR="00DF2DF8">
        <w:rPr>
          <w:rFonts w:cs="Arial"/>
        </w:rPr>
        <w:t>January 2019</w:t>
      </w:r>
      <w:r w:rsidRPr="00D71826">
        <w:rPr>
          <w:rFonts w:cs="Arial"/>
        </w:rPr>
        <w:t>, t</w:t>
      </w:r>
      <w:r w:rsidR="00130638" w:rsidRPr="00D71826">
        <w:rPr>
          <w:rFonts w:cs="Arial"/>
        </w:rPr>
        <w:t>he Territory</w:t>
      </w:r>
      <w:r w:rsidR="007D15B0">
        <w:rPr>
          <w:rFonts w:cs="Arial"/>
        </w:rPr>
        <w:t xml:space="preserve"> continued</w:t>
      </w:r>
      <w:r w:rsidR="00285413">
        <w:rPr>
          <w:rFonts w:cs="Arial"/>
        </w:rPr>
        <w:t xml:space="preserve"> to </w:t>
      </w:r>
      <w:r w:rsidR="007D15B0">
        <w:rPr>
          <w:rFonts w:cs="Arial"/>
        </w:rPr>
        <w:t>report</w:t>
      </w:r>
      <w:r w:rsidR="00285413">
        <w:rPr>
          <w:rFonts w:cs="Arial"/>
        </w:rPr>
        <w:t xml:space="preserve"> the</w:t>
      </w:r>
      <w:r w:rsidR="000F38F1"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jurisdictions</w:t>
      </w:r>
      <w:r w:rsidR="009B5C41">
        <w:rPr>
          <w:rFonts w:cs="Arial"/>
        </w:rPr>
        <w:t xml:space="preserve">, </w:t>
      </w:r>
      <w:r w:rsidR="007D15B0">
        <w:rPr>
          <w:rFonts w:cs="Arial"/>
        </w:rPr>
        <w:t>although</w:t>
      </w:r>
      <w:r w:rsidR="009B5C41">
        <w:rPr>
          <w:rFonts w:cs="Arial"/>
        </w:rPr>
        <w:t xml:space="preserve"> labour market conditions </w:t>
      </w:r>
      <w:r w:rsidR="007D15B0">
        <w:rPr>
          <w:rFonts w:cs="Arial"/>
        </w:rPr>
        <w:t>have softened</w:t>
      </w:r>
      <w:r w:rsidR="009B5C41">
        <w:rPr>
          <w:rFonts w:cs="Arial"/>
        </w:rPr>
        <w:t xml:space="preserve"> over the past </w:t>
      </w:r>
      <w:r w:rsidR="00117DD3">
        <w:rPr>
          <w:rFonts w:cs="Arial"/>
        </w:rPr>
        <w:t>seven</w:t>
      </w:r>
      <w:r w:rsidR="009B5C41">
        <w:rPr>
          <w:rFonts w:cs="Arial"/>
        </w:rPr>
        <w:t xml:space="preserve"> months</w:t>
      </w:r>
      <w:r w:rsidR="000F38F1" w:rsidRPr="00D71826">
        <w:rPr>
          <w:rFonts w:cs="Arial"/>
        </w:rPr>
        <w:t xml:space="preserve">. </w:t>
      </w:r>
      <w:r w:rsidR="007D15B0">
        <w:rPr>
          <w:rFonts w:cs="Arial"/>
        </w:rPr>
        <w:t xml:space="preserve">Unemployment has risen </w:t>
      </w:r>
      <w:r w:rsidR="00117DD3">
        <w:rPr>
          <w:rFonts w:cs="Arial"/>
        </w:rPr>
        <w:t xml:space="preserve">seven </w:t>
      </w:r>
      <w:r w:rsidR="007D15B0">
        <w:rPr>
          <w:rFonts w:cs="Arial"/>
        </w:rPr>
        <w:t>consecutive months and e</w:t>
      </w:r>
      <w:r w:rsidR="002A5D19">
        <w:rPr>
          <w:rFonts w:cs="Arial"/>
        </w:rPr>
        <w:t xml:space="preserve">mployment levels </w:t>
      </w:r>
      <w:r w:rsidR="007D15B0">
        <w:rPr>
          <w:rFonts w:cs="Arial"/>
        </w:rPr>
        <w:t>have fallen</w:t>
      </w:r>
      <w:r w:rsidR="00AD563C">
        <w:rPr>
          <w:rFonts w:cs="Arial"/>
        </w:rPr>
        <w:t xml:space="preserve"> </w:t>
      </w:r>
      <w:r w:rsidR="00117DD3">
        <w:rPr>
          <w:rFonts w:cs="Arial"/>
        </w:rPr>
        <w:t>seven</w:t>
      </w:r>
      <w:r w:rsidR="00AD563C">
        <w:rPr>
          <w:rFonts w:cs="Arial"/>
        </w:rPr>
        <w:t xml:space="preserve"> consecutive months</w:t>
      </w:r>
      <w:r w:rsidR="007D15B0">
        <w:rPr>
          <w:rFonts w:cs="Arial"/>
        </w:rPr>
        <w:t>.</w:t>
      </w:r>
      <w:r w:rsidR="002A5D19">
        <w:rPr>
          <w:rFonts w:cs="Arial"/>
        </w:rPr>
        <w:t xml:space="preserve"> </w:t>
      </w:r>
      <w:r w:rsidR="00117DD3">
        <w:rPr>
          <w:rFonts w:cs="Arial"/>
        </w:rPr>
        <w:t>Increased</w:t>
      </w:r>
      <w:r w:rsidR="008D5F73">
        <w:rPr>
          <w:rFonts w:cs="Arial"/>
        </w:rPr>
        <w:t xml:space="preserve"> job vacancies </w:t>
      </w:r>
      <w:r w:rsidR="00684636">
        <w:rPr>
          <w:rFonts w:cs="Arial"/>
        </w:rPr>
        <w:t>would improve emplo</w:t>
      </w:r>
      <w:r w:rsidR="00EF77EE">
        <w:rPr>
          <w:rFonts w:cs="Arial"/>
        </w:rPr>
        <w:t>yment levels in the short term.</w:t>
      </w:r>
    </w:p>
    <w:p w:rsidR="00684636" w:rsidRDefault="00684636" w:rsidP="00684636">
      <w:pPr>
        <w:spacing w:before="120" w:after="0"/>
        <w:jc w:val="both"/>
        <w:rPr>
          <w:rFonts w:cs="Arial"/>
        </w:rPr>
      </w:pP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FF308C" w:rsidP="009C21E9">
      <w:pPr>
        <w:spacing w:after="0"/>
        <w:rPr>
          <w:rFonts w:cs="Arial"/>
          <w:bCs/>
          <w:sz w:val="20"/>
          <w:szCs w:val="18"/>
        </w:rPr>
      </w:pPr>
      <w:r w:rsidRPr="00FF308C">
        <w:rPr>
          <w:noProof/>
        </w:rPr>
        <w:drawing>
          <wp:inline distT="0" distB="0" distL="0" distR="0">
            <wp:extent cx="3077845" cy="1289637"/>
            <wp:effectExtent l="0" t="0" r="0" b="6350"/>
            <wp:docPr id="4" name="Picture 4"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increased by 0.4 to 134,889 persons.   &#10;Row three indicates the total employed persons in the Australia increased by 0.2 to 12,747,717 persons.   &#10;Row four indicates the total full-time employed persons in the Northern Territory increased by 0.1 to 106,707 persons.   &#10;Row five indicates the total full-time employed persons in Australia increased by 0.2 to 8,737,397 persons.   &#10;Row six indicates the total part-time employed persons in the Territory increased by 1.4 per cent to 28,183 persons.   &#10;Row seven indicates the total part-time employed persons in Australia increased by 0.2 per cent to 4,010,320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DF2DF8">
        <w:rPr>
          <w:rFonts w:cs="Arial"/>
          <w:sz w:val="20"/>
        </w:rPr>
        <w:t>January 2019</w:t>
      </w:r>
      <w:r w:rsidR="00E937AC" w:rsidRPr="00D71826">
        <w:rPr>
          <w:rFonts w:cs="Arial"/>
          <w:bCs/>
          <w:sz w:val="20"/>
          <w:szCs w:val="22"/>
        </w:rPr>
        <w:t xml:space="preserve">, there were </w:t>
      </w:r>
      <w:r w:rsidR="00A5018A">
        <w:rPr>
          <w:rFonts w:cs="Arial"/>
          <w:bCs/>
          <w:sz w:val="20"/>
          <w:szCs w:val="22"/>
        </w:rPr>
        <w:t>13</w:t>
      </w:r>
      <w:r w:rsidR="00B97D06">
        <w:rPr>
          <w:rFonts w:cs="Arial"/>
          <w:bCs/>
          <w:sz w:val="20"/>
          <w:szCs w:val="22"/>
        </w:rPr>
        <w:t>4</w:t>
      </w:r>
      <w:r w:rsidR="001F1663">
        <w:rPr>
          <w:rFonts w:cs="Arial"/>
          <w:bCs/>
          <w:sz w:val="20"/>
          <w:szCs w:val="22"/>
        </w:rPr>
        <w:t> </w:t>
      </w:r>
      <w:r w:rsidR="00B97D06">
        <w:rPr>
          <w:rFonts w:cs="Arial"/>
          <w:bCs/>
          <w:sz w:val="20"/>
          <w:szCs w:val="22"/>
        </w:rPr>
        <w:t>889</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AA3CEF">
        <w:rPr>
          <w:rFonts w:cs="Arial"/>
          <w:bCs/>
          <w:sz w:val="20"/>
          <w:szCs w:val="22"/>
        </w:rPr>
        <w:t xml:space="preserve">an increase </w:t>
      </w:r>
      <w:r w:rsidR="000A053A" w:rsidRPr="00D71826">
        <w:rPr>
          <w:rFonts w:cs="Arial"/>
          <w:bCs/>
          <w:sz w:val="20"/>
          <w:szCs w:val="22"/>
        </w:rPr>
        <w:t xml:space="preserve">of </w:t>
      </w:r>
      <w:r w:rsidR="00B97D06">
        <w:rPr>
          <w:rFonts w:cs="Arial"/>
          <w:bCs/>
          <w:sz w:val="20"/>
          <w:szCs w:val="22"/>
        </w:rPr>
        <w:t>594</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3E223E">
        <w:rPr>
          <w:rFonts w:cs="Arial"/>
          <w:bCs/>
          <w:sz w:val="20"/>
          <w:szCs w:val="22"/>
        </w:rPr>
        <w:t>increased</w:t>
      </w:r>
      <w:r w:rsidR="00C038A0" w:rsidRPr="00D71826">
        <w:rPr>
          <w:rFonts w:cs="Arial"/>
          <w:bCs/>
          <w:sz w:val="20"/>
          <w:szCs w:val="22"/>
        </w:rPr>
        <w:t xml:space="preserve"> </w:t>
      </w:r>
      <w:r w:rsidR="009C21E9" w:rsidRPr="00D71826">
        <w:rPr>
          <w:rFonts w:cs="Arial"/>
          <w:bCs/>
          <w:sz w:val="20"/>
          <w:szCs w:val="22"/>
        </w:rPr>
        <w:t xml:space="preserve">by </w:t>
      </w:r>
      <w:r w:rsidR="00B97D06">
        <w:rPr>
          <w:rFonts w:cs="Arial"/>
          <w:bCs/>
          <w:sz w:val="20"/>
          <w:szCs w:val="22"/>
        </w:rPr>
        <w:t>193</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9648C3">
        <w:rPr>
          <w:rFonts w:cs="Arial"/>
          <w:bCs/>
          <w:sz w:val="20"/>
          <w:szCs w:val="22"/>
        </w:rPr>
        <w:t>0</w:t>
      </w:r>
      <w:r w:rsidR="003E223E">
        <w:rPr>
          <w:rFonts w:cs="Arial"/>
          <w:bCs/>
          <w:sz w:val="20"/>
          <w:szCs w:val="22"/>
        </w:rPr>
        <w:t>6</w:t>
      </w:r>
      <w:r w:rsidR="00276FE4">
        <w:rPr>
          <w:rFonts w:cs="Arial"/>
          <w:bCs/>
          <w:sz w:val="20"/>
          <w:szCs w:val="22"/>
        </w:rPr>
        <w:t xml:space="preserve"> </w:t>
      </w:r>
      <w:r w:rsidR="00B97D06">
        <w:rPr>
          <w:rFonts w:cs="Arial"/>
          <w:bCs/>
          <w:sz w:val="20"/>
          <w:szCs w:val="22"/>
        </w:rPr>
        <w:t>707</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E223E">
        <w:rPr>
          <w:rFonts w:cs="Arial"/>
          <w:bCs/>
          <w:sz w:val="20"/>
          <w:szCs w:val="22"/>
        </w:rPr>
        <w:t>increased</w:t>
      </w:r>
      <w:r w:rsidR="00554742" w:rsidRPr="00D71826">
        <w:rPr>
          <w:rFonts w:cs="Arial"/>
          <w:bCs/>
          <w:sz w:val="20"/>
          <w:szCs w:val="22"/>
        </w:rPr>
        <w:t xml:space="preserve"> by </w:t>
      </w:r>
      <w:r w:rsidR="00B97D06">
        <w:rPr>
          <w:rFonts w:cs="Arial"/>
          <w:bCs/>
          <w:sz w:val="20"/>
          <w:szCs w:val="22"/>
        </w:rPr>
        <w:t>400</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6C6C5A">
        <w:rPr>
          <w:rFonts w:cs="Arial"/>
          <w:bCs/>
          <w:sz w:val="20"/>
          <w:szCs w:val="22"/>
        </w:rPr>
        <w:t>2</w:t>
      </w:r>
      <w:r w:rsidR="00B97D06">
        <w:rPr>
          <w:rFonts w:cs="Arial"/>
          <w:bCs/>
          <w:sz w:val="20"/>
          <w:szCs w:val="22"/>
        </w:rPr>
        <w:t>8</w:t>
      </w:r>
      <w:r w:rsidR="006C6C5A">
        <w:rPr>
          <w:rFonts w:cs="Arial"/>
          <w:bCs/>
          <w:sz w:val="20"/>
          <w:szCs w:val="22"/>
        </w:rPr>
        <w:t xml:space="preserve"> </w:t>
      </w:r>
      <w:r w:rsidR="00B97D06">
        <w:rPr>
          <w:rFonts w:cs="Arial"/>
          <w:bCs/>
          <w:sz w:val="20"/>
          <w:szCs w:val="22"/>
        </w:rPr>
        <w:t>183</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B97D06">
        <w:rPr>
          <w:rFonts w:cs="Arial"/>
          <w:bCs/>
          <w:sz w:val="20"/>
          <w:szCs w:val="22"/>
        </w:rPr>
        <w:t>24 928</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B97D06">
        <w:rPr>
          <w:rFonts w:cs="Arial"/>
          <w:bCs/>
          <w:sz w:val="20"/>
          <w:szCs w:val="22"/>
        </w:rPr>
        <w:t>747</w:t>
      </w:r>
      <w:r w:rsidR="006C6C5A">
        <w:rPr>
          <w:rFonts w:cs="Arial"/>
          <w:bCs/>
          <w:sz w:val="20"/>
          <w:szCs w:val="22"/>
        </w:rPr>
        <w:t xml:space="preserve"> </w:t>
      </w:r>
      <w:r w:rsidR="00B97D06">
        <w:rPr>
          <w:rFonts w:cs="Arial"/>
          <w:bCs/>
          <w:sz w:val="20"/>
          <w:szCs w:val="22"/>
        </w:rPr>
        <w:t>717</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B97D06">
        <w:rPr>
          <w:rFonts w:cs="Arial"/>
          <w:bCs/>
          <w:sz w:val="20"/>
          <w:szCs w:val="22"/>
        </w:rPr>
        <w:t>16</w:t>
      </w:r>
      <w:r w:rsidR="006C6C5A">
        <w:rPr>
          <w:rFonts w:cs="Arial"/>
          <w:bCs/>
          <w:sz w:val="20"/>
          <w:szCs w:val="22"/>
        </w:rPr>
        <w:t xml:space="preserve"> </w:t>
      </w:r>
      <w:r w:rsidR="00B97D06">
        <w:rPr>
          <w:rFonts w:cs="Arial"/>
          <w:bCs/>
          <w:sz w:val="20"/>
          <w:szCs w:val="22"/>
        </w:rPr>
        <w:t>789</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B97D06">
        <w:rPr>
          <w:rFonts w:cs="Arial"/>
          <w:bCs/>
          <w:sz w:val="20"/>
          <w:szCs w:val="22"/>
        </w:rPr>
        <w:t>737</w:t>
      </w:r>
      <w:r w:rsidR="006C6C5A">
        <w:rPr>
          <w:rFonts w:cs="Arial"/>
          <w:bCs/>
          <w:sz w:val="20"/>
          <w:szCs w:val="22"/>
        </w:rPr>
        <w:t xml:space="preserve"> </w:t>
      </w:r>
      <w:r w:rsidR="00B97D06">
        <w:rPr>
          <w:rFonts w:cs="Arial"/>
          <w:bCs/>
          <w:sz w:val="20"/>
          <w:szCs w:val="22"/>
        </w:rPr>
        <w:t>397</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B63314">
        <w:rPr>
          <w:rFonts w:cs="Arial"/>
          <w:bCs/>
          <w:sz w:val="20"/>
          <w:szCs w:val="22"/>
        </w:rPr>
        <w:t>8140</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9648C3">
        <w:rPr>
          <w:rFonts w:cs="Arial"/>
          <w:bCs/>
          <w:sz w:val="20"/>
          <w:szCs w:val="22"/>
        </w:rPr>
        <w:t>0</w:t>
      </w:r>
      <w:r w:rsidR="00B63314">
        <w:rPr>
          <w:rFonts w:cs="Arial"/>
          <w:bCs/>
          <w:sz w:val="20"/>
          <w:szCs w:val="22"/>
        </w:rPr>
        <w:t>10</w:t>
      </w:r>
      <w:r w:rsidR="006C6C5A">
        <w:rPr>
          <w:rFonts w:cs="Arial"/>
          <w:bCs/>
          <w:sz w:val="20"/>
          <w:szCs w:val="22"/>
        </w:rPr>
        <w:t xml:space="preserve"> </w:t>
      </w:r>
      <w:r w:rsidR="00B63314">
        <w:rPr>
          <w:rFonts w:cs="Arial"/>
          <w:bCs/>
          <w:sz w:val="20"/>
          <w:szCs w:val="22"/>
        </w:rPr>
        <w:t>320</w:t>
      </w:r>
      <w:r w:rsidR="009C21E9" w:rsidRPr="00D71826">
        <w:rPr>
          <w:rFonts w:cs="Arial"/>
          <w:bCs/>
          <w:sz w:val="20"/>
          <w:szCs w:val="22"/>
        </w:rPr>
        <w:t xml:space="preserve"> persons.</w:t>
      </w:r>
    </w:p>
    <w:p w:rsidR="00AD563C" w:rsidRPr="003C3759" w:rsidRDefault="00AD563C" w:rsidP="00FB1B45">
      <w:pPr>
        <w:pStyle w:val="ListParagraph"/>
        <w:numPr>
          <w:ilvl w:val="0"/>
          <w:numId w:val="12"/>
        </w:numPr>
        <w:spacing w:before="60" w:after="240"/>
        <w:ind w:left="284" w:hanging="284"/>
        <w:jc w:val="both"/>
        <w:rPr>
          <w:rFonts w:cs="Arial"/>
          <w:bCs/>
          <w:sz w:val="20"/>
          <w:szCs w:val="22"/>
        </w:rPr>
      </w:pPr>
      <w:r w:rsidRPr="003C3759">
        <w:rPr>
          <w:rFonts w:cs="Arial"/>
          <w:bCs/>
          <w:sz w:val="20"/>
          <w:szCs w:val="22"/>
        </w:rPr>
        <w:t xml:space="preserve">Territory employment levels have fallen </w:t>
      </w:r>
      <w:r w:rsidR="003C3759" w:rsidRPr="003C3759">
        <w:rPr>
          <w:rFonts w:cs="Arial"/>
          <w:bCs/>
          <w:sz w:val="20"/>
          <w:szCs w:val="22"/>
        </w:rPr>
        <w:t>seven</w:t>
      </w:r>
      <w:r w:rsidRPr="003C3759">
        <w:rPr>
          <w:rFonts w:cs="Arial"/>
          <w:bCs/>
          <w:sz w:val="20"/>
          <w:szCs w:val="22"/>
        </w:rPr>
        <w:t xml:space="preserve"> consecutive months, down about </w:t>
      </w:r>
      <w:r w:rsidR="00B63314">
        <w:rPr>
          <w:rFonts w:cs="Arial"/>
          <w:bCs/>
          <w:sz w:val="20"/>
          <w:szCs w:val="22"/>
        </w:rPr>
        <w:t>1766</w:t>
      </w:r>
      <w:r w:rsidRPr="003C3759">
        <w:rPr>
          <w:rFonts w:cs="Arial"/>
          <w:bCs/>
          <w:sz w:val="20"/>
          <w:szCs w:val="22"/>
        </w:rPr>
        <w:t xml:space="preserve"> jobs since </w:t>
      </w:r>
      <w:r w:rsidR="00B63314">
        <w:rPr>
          <w:rFonts w:cs="Arial"/>
          <w:bCs/>
          <w:sz w:val="20"/>
          <w:szCs w:val="22"/>
        </w:rPr>
        <w:t>July</w:t>
      </w:r>
      <w:r w:rsidRPr="003C3759">
        <w:rPr>
          <w:rFonts w:cs="Arial"/>
          <w:bCs/>
          <w:sz w:val="20"/>
          <w:szCs w:val="22"/>
        </w:rPr>
        <w:t xml:space="preserve"> 2018.</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B63314" w:rsidP="00831576">
      <w:pPr>
        <w:spacing w:after="0"/>
        <w:rPr>
          <w:rFonts w:cs="Arial"/>
        </w:rPr>
      </w:pPr>
      <w:r w:rsidRPr="00B63314">
        <w:rPr>
          <w:noProof/>
        </w:rPr>
        <w:drawing>
          <wp:inline distT="0" distB="0" distL="0" distR="0">
            <wp:extent cx="3077845" cy="628199"/>
            <wp:effectExtent l="0" t="0" r="8255" b="635"/>
            <wp:docPr id="9" name="Picture 9" descr="This table illustrates the unemployment rate in the Northern Territory and Australia.&#10;Row one are the headings: monthly change; and rate.&#10;Row two indicates the unemployment rate in the Territory increased by 0.1 of a percentage point, to 5.0 percent. &#10;Row three indicates the unemployment rate in Australia remained unchanged at 5.1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DF2DF8">
        <w:rPr>
          <w:rFonts w:cs="Arial"/>
          <w:sz w:val="20"/>
        </w:rPr>
        <w:t>January 2019</w:t>
      </w:r>
      <w:r w:rsidRPr="00D71826">
        <w:rPr>
          <w:rFonts w:cs="Arial"/>
          <w:bCs/>
          <w:sz w:val="20"/>
        </w:rPr>
        <w:t xml:space="preserve">, the Territory’s unemployment rate </w:t>
      </w:r>
      <w:r w:rsidR="009648C3">
        <w:rPr>
          <w:rFonts w:cs="Arial"/>
          <w:bCs/>
          <w:sz w:val="20"/>
        </w:rPr>
        <w:t>increased by 0.</w:t>
      </w:r>
      <w:r w:rsidR="00C124A5">
        <w:rPr>
          <w:rFonts w:cs="Arial"/>
          <w:bCs/>
          <w:sz w:val="20"/>
        </w:rPr>
        <w:t>1</w:t>
      </w:r>
      <w:r w:rsidR="00A275AE">
        <w:rPr>
          <w:rFonts w:cs="Arial"/>
          <w:bCs/>
          <w:sz w:val="20"/>
        </w:rPr>
        <w:t xml:space="preserve"> of a percentage point to</w:t>
      </w:r>
      <w:r w:rsidR="00850732">
        <w:rPr>
          <w:rFonts w:cs="Arial"/>
          <w:bCs/>
          <w:sz w:val="20"/>
        </w:rPr>
        <w:t xml:space="preserve"> </w:t>
      </w:r>
      <w:r w:rsidR="009648C3">
        <w:rPr>
          <w:rFonts w:cs="Arial"/>
          <w:bCs/>
          <w:sz w:val="20"/>
        </w:rPr>
        <w:t>5.0</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9648C3">
        <w:rPr>
          <w:rFonts w:cs="Arial"/>
          <w:bCs/>
          <w:sz w:val="20"/>
        </w:rPr>
        <w:t>fourth</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524562">
        <w:rPr>
          <w:rFonts w:cs="Arial"/>
          <w:bCs/>
          <w:sz w:val="20"/>
        </w:rPr>
        <w:t>Victoria (4.</w:t>
      </w:r>
      <w:r w:rsidR="00C67ADD">
        <w:rPr>
          <w:rFonts w:cs="Arial"/>
          <w:bCs/>
          <w:sz w:val="20"/>
        </w:rPr>
        <w:t>5</w:t>
      </w:r>
      <w:r w:rsidR="009648C3">
        <w:rPr>
          <w:rFonts w:cs="Arial"/>
          <w:bCs/>
          <w:sz w:val="20"/>
        </w:rPr>
        <w:t>%)</w:t>
      </w:r>
      <w:r w:rsidR="00C67ADD">
        <w:rPr>
          <w:rFonts w:cs="Arial"/>
          <w:bCs/>
          <w:sz w:val="20"/>
        </w:rPr>
        <w:t>, followed by New South Wales (4.1%), and then the Australian Capital Territory (3.5%)</w:t>
      </w:r>
      <w:r w:rsidR="001B5836" w:rsidRPr="00D71826">
        <w:rPr>
          <w:rFonts w:cs="Arial"/>
          <w:bCs/>
          <w:sz w:val="20"/>
        </w:rPr>
        <w:t xml:space="preserve">. </w:t>
      </w:r>
      <w:r w:rsidR="00C67ADD" w:rsidRPr="006D3A44">
        <w:rPr>
          <w:rFonts w:cs="Arial"/>
          <w:bCs/>
          <w:sz w:val="20"/>
        </w:rPr>
        <w:t>Western</w:t>
      </w:r>
      <w:r w:rsidR="006D3A44">
        <w:rPr>
          <w:rFonts w:cs="Arial"/>
          <w:bCs/>
          <w:sz w:val="20"/>
        </w:rPr>
        <w:t> </w:t>
      </w:r>
      <w:r w:rsidR="00C124A5" w:rsidRPr="006D3A44">
        <w:rPr>
          <w:rFonts w:cs="Arial"/>
          <w:bCs/>
          <w:sz w:val="20"/>
        </w:rPr>
        <w:t>Australia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6D3A44">
        <w:rPr>
          <w:rFonts w:cs="Arial"/>
          <w:bCs/>
          <w:sz w:val="20"/>
        </w:rPr>
        <w:t>6</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6D3A44">
        <w:rPr>
          <w:rFonts w:cs="Arial"/>
          <w:bCs/>
          <w:sz w:val="20"/>
        </w:rPr>
        <w:t>1</w:t>
      </w:r>
      <w:r w:rsidRPr="00D71826">
        <w:rPr>
          <w:rFonts w:cs="Arial"/>
          <w:bCs/>
          <w:sz w:val="20"/>
        </w:rPr>
        <w:t>% from the p</w:t>
      </w:r>
      <w:r w:rsidR="00EF77EE">
        <w:rPr>
          <w:rFonts w:cs="Arial"/>
          <w:bCs/>
          <w:sz w:val="20"/>
        </w:rPr>
        <w:t>revious month’s revised figure.</w:t>
      </w:r>
      <w:bookmarkStart w:id="0" w:name="_GoBack"/>
      <w:bookmarkEnd w:id="0"/>
    </w:p>
    <w:p w:rsidR="00D71826" w:rsidRDefault="00D71826" w:rsidP="00FB30E0">
      <w:pPr>
        <w:pStyle w:val="ListParagraph"/>
        <w:spacing w:before="60" w:after="120"/>
        <w:ind w:left="284"/>
        <w:jc w:val="both"/>
        <w:rPr>
          <w:rFonts w:cs="Arial"/>
          <w:bCs/>
          <w:sz w:val="20"/>
          <w:szCs w:val="18"/>
        </w:rPr>
      </w:pPr>
    </w:p>
    <w:p w:rsidR="00FC077C" w:rsidRPr="00D71826" w:rsidRDefault="00F7678F" w:rsidP="00424D7D">
      <w:pPr>
        <w:pStyle w:val="Heading2"/>
        <w:shd w:val="clear" w:color="auto" w:fill="C6D9F1" w:themeFill="text2" w:themeFillTint="33"/>
        <w:spacing w:before="240"/>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9F4F99" w:rsidP="009C21E9">
      <w:pPr>
        <w:spacing w:after="0"/>
        <w:rPr>
          <w:rFonts w:cs="Arial"/>
          <w:bCs/>
          <w:sz w:val="20"/>
          <w:szCs w:val="18"/>
        </w:rPr>
      </w:pPr>
      <w:r w:rsidRPr="009F4F99">
        <w:rPr>
          <w:noProof/>
        </w:rPr>
        <w:drawing>
          <wp:inline distT="0" distB="0" distL="0" distR="0">
            <wp:extent cx="3077845" cy="601609"/>
            <wp:effectExtent l="0" t="0" r="0" b="8255"/>
            <wp:docPr id="11" name="Picture 11" descr="This table illustrates the participation rate in the Northern Territory and Australia. &#10;Row one are the headings: monthly change; and rate.  &#10;Row two indicates the participation rate in the Northern Territory increased by 0.2 percentage points to 74.8 per cent.   &#10;Row three indicates the participation rate in Australia remained unchanged at 65.7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DF2DF8">
        <w:rPr>
          <w:rFonts w:cs="Arial"/>
          <w:sz w:val="20"/>
        </w:rPr>
        <w:t>January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F4F99">
        <w:rPr>
          <w:rFonts w:cs="Arial"/>
          <w:bCs/>
          <w:sz w:val="20"/>
          <w:szCs w:val="18"/>
        </w:rPr>
        <w:t>increased by 0.2 percentage points to 74.8</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9F4F99">
        <w:rPr>
          <w:rFonts w:cs="Arial"/>
          <w:bCs/>
          <w:sz w:val="20"/>
          <w:szCs w:val="18"/>
        </w:rPr>
        <w:t>69.6</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9F4F99">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9F4F99">
        <w:rPr>
          <w:rFonts w:cs="Arial"/>
          <w:bCs/>
          <w:sz w:val="20"/>
          <w:szCs w:val="18"/>
        </w:rPr>
        <w:t>remained unchanged at 65.7</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930F0E" w:rsidRPr="00930F0E">
        <w:rPr>
          <w:noProof/>
        </w:rPr>
        <w:drawing>
          <wp:inline distT="0" distB="0" distL="0" distR="0">
            <wp:extent cx="3077845" cy="2131701"/>
            <wp:effectExtent l="0" t="0" r="0" b="0"/>
            <wp:docPr id="14" name="Picture 14" descr="This chart indicates the following unemployment rates for each jurisdictions:&#10;New South Wales is 4.1 per cent.&#10;Victoria is 4.5 per cent. &#10;Queensland is 6.1 per cent. &#10;South Australia is 6.0 per cent. &#10;Western Australia is 6.6 per cent. &#10;Tasmania is 6.2 per cent. &#10;Northern Territory is 5.0 per cent.&#10;Australian Capital Territory is 3.5 per cent. &#10;Australia is 5.1 per cent. &#10;&#10;The following participation rates for each jurisdictions are: &#10;New South Wales is 65.1 per cent.&#10;Victoria is 65.9 per cent. &#10;Queensland is 65.6 per cent. &#10;South Australia is 62.8 per cent. &#10;Western Australia is 68.5 per cent. &#10;Tasmania is 60.1 per cent. &#10;Northern Territory is 74.8 per cent.&#10;Australian Capital Territory is 69.6 per cent.&#10;Australia is 65.7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930F0E" w:rsidP="009C21E9">
      <w:pPr>
        <w:spacing w:before="60" w:after="0"/>
        <w:rPr>
          <w:rFonts w:cs="Arial"/>
          <w:i/>
          <w:sz w:val="18"/>
        </w:rPr>
      </w:pPr>
      <w:r w:rsidRPr="00930F0E">
        <w:rPr>
          <w:noProof/>
        </w:rPr>
        <w:drawing>
          <wp:inline distT="0" distB="0" distL="0" distR="0">
            <wp:extent cx="3077845" cy="970552"/>
            <wp:effectExtent l="0" t="0" r="8255" b="1270"/>
            <wp:docPr id="15" name="Picture 15" descr="This table illustrates the labour force and civilian population numbers by persons in the Northern Territory and Australia.  &#10;Row one are the headings: monthly change; and number of persons reported in thousands. &#10;Row two indicates the Northern Territory labour force increased by 0.5 per cent to 141,833 persons.  &#10;Row three indicates the Australian labour force increased by 0.2 per cent to 13,427,769 persons.  &#10;Row four indicates the Northern Territory civilian population remained unchanged at 188,816 persons.  &#10;Row five indicates the Australian civilian population increased by 0.2 per cent to 20,427,743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DF2DF8">
        <w:rPr>
          <w:rFonts w:cs="Arial"/>
          <w:sz w:val="20"/>
        </w:rPr>
        <w:t>January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C8106B">
        <w:rPr>
          <w:rFonts w:cs="Arial"/>
          <w:bCs/>
          <w:sz w:val="20"/>
        </w:rPr>
        <w:t>1</w:t>
      </w:r>
      <w:r w:rsidR="007E3F11" w:rsidRPr="00D71826">
        <w:rPr>
          <w:rFonts w:cs="Arial"/>
          <w:bCs/>
          <w:sz w:val="20"/>
        </w:rPr>
        <w:t> </w:t>
      </w:r>
      <w:r w:rsidR="00C8106B">
        <w:rPr>
          <w:rFonts w:cs="Arial"/>
          <w:bCs/>
          <w:sz w:val="20"/>
        </w:rPr>
        <w:t>833</w:t>
      </w:r>
      <w:r w:rsidR="00941488" w:rsidRPr="00D71826">
        <w:rPr>
          <w:rFonts w:cs="Arial"/>
          <w:bCs/>
          <w:sz w:val="20"/>
        </w:rPr>
        <w:t xml:space="preserve"> persons</w:t>
      </w:r>
      <w:r w:rsidR="00E45C40">
        <w:rPr>
          <w:rFonts w:cs="Arial"/>
          <w:bCs/>
          <w:sz w:val="20"/>
        </w:rPr>
        <w:t xml:space="preserve">, </w:t>
      </w:r>
      <w:r w:rsidR="002E4521">
        <w:rPr>
          <w:rFonts w:cs="Arial"/>
          <w:bCs/>
          <w:sz w:val="20"/>
        </w:rPr>
        <w:t xml:space="preserve">an increase </w:t>
      </w:r>
      <w:r w:rsidR="006B1636">
        <w:rPr>
          <w:rFonts w:cs="Arial"/>
          <w:bCs/>
          <w:sz w:val="20"/>
        </w:rPr>
        <w:t xml:space="preserve">of </w:t>
      </w:r>
      <w:r w:rsidR="00C8106B">
        <w:rPr>
          <w:rFonts w:cs="Arial"/>
          <w:bCs/>
          <w:sz w:val="20"/>
        </w:rPr>
        <w:t>723</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C8106B">
        <w:rPr>
          <w:rFonts w:cs="Arial"/>
          <w:bCs/>
          <w:sz w:val="20"/>
        </w:rPr>
        <w:t>26</w:t>
      </w:r>
      <w:r w:rsidR="002E4521">
        <w:rPr>
          <w:rFonts w:cs="Arial"/>
          <w:bCs/>
          <w:sz w:val="20"/>
        </w:rPr>
        <w:t xml:space="preserve"> </w:t>
      </w:r>
      <w:r w:rsidR="00C8106B">
        <w:rPr>
          <w:rFonts w:cs="Arial"/>
          <w:bCs/>
          <w:sz w:val="20"/>
        </w:rPr>
        <w:t>769</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C8106B">
        <w:rPr>
          <w:rFonts w:cs="Arial"/>
          <w:bCs/>
          <w:sz w:val="20"/>
        </w:rPr>
        <w:t>3 427</w:t>
      </w:r>
      <w:r w:rsidR="002E4521">
        <w:rPr>
          <w:rFonts w:cs="Arial"/>
          <w:bCs/>
          <w:sz w:val="20"/>
        </w:rPr>
        <w:t xml:space="preserve"> </w:t>
      </w:r>
      <w:r w:rsidR="00C8106B">
        <w:rPr>
          <w:rFonts w:cs="Arial"/>
          <w:bCs/>
          <w:sz w:val="20"/>
        </w:rPr>
        <w:t>769</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r w:rsidR="009C070B" w:rsidRPr="00FF05FC">
        <w:rPr>
          <w:rFonts w:cs="Arial"/>
          <w:sz w:val="22"/>
          <w:vertAlign w:val="superscript"/>
        </w:rPr>
        <w:t>1</w:t>
      </w:r>
    </w:p>
    <w:p w:rsidR="002E148E" w:rsidRPr="00D71826" w:rsidRDefault="003A53A3" w:rsidP="002E148E">
      <w:pPr>
        <w:spacing w:before="120" w:after="120"/>
        <w:rPr>
          <w:rFonts w:cs="Arial"/>
          <w:sz w:val="18"/>
          <w:szCs w:val="18"/>
        </w:rPr>
      </w:pPr>
      <w:r w:rsidRPr="003A53A3">
        <w:rPr>
          <w:noProof/>
        </w:rPr>
        <w:drawing>
          <wp:inline distT="0" distB="0" distL="0" distR="0">
            <wp:extent cx="3077845" cy="580878"/>
            <wp:effectExtent l="0" t="0" r="0" b="0"/>
            <wp:docPr id="1" name="Picture 1" descr="This table illustrates the apprentice and trainee commencements, in training and completions numbers in the Northern Territory. &#10;Row one are the headings: year to date change; year to date to December 2017; and year to date to December 2018.&#10;Row two indicates the Northern Territory's year to December 2018 commencements increased by 16.7 percent, from 2039 to 2380.&#10;Row three indicates the Northern Territory's year to December 2018 completions decreased by 6.2 percent, from 1067 to 1001.&#10;" title="Apprentices and Trai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3A53A3">
        <w:rPr>
          <w:rFonts w:cs="Arial"/>
          <w:bCs/>
          <w:sz w:val="20"/>
          <w:szCs w:val="18"/>
        </w:rPr>
        <w:t>December</w:t>
      </w:r>
      <w:r w:rsidR="004C77C9" w:rsidRPr="00517DE9">
        <w:rPr>
          <w:rFonts w:cs="Arial"/>
          <w:bCs/>
          <w:sz w:val="20"/>
          <w:szCs w:val="18"/>
        </w:rPr>
        <w:t xml:space="preserve"> 2018</w:t>
      </w:r>
      <w:r w:rsidR="000B5226" w:rsidRPr="00517DE9">
        <w:rPr>
          <w:rFonts w:cs="Arial"/>
          <w:bCs/>
          <w:sz w:val="20"/>
          <w:szCs w:val="18"/>
        </w:rPr>
        <w:t>, there were</w:t>
      </w:r>
      <w:r w:rsidR="009D6C85" w:rsidRPr="00517DE9">
        <w:rPr>
          <w:rFonts w:cs="Arial"/>
          <w:bCs/>
          <w:sz w:val="20"/>
          <w:szCs w:val="18"/>
        </w:rPr>
        <w:t xml:space="preserve"> </w:t>
      </w:r>
      <w:r w:rsidR="003A53A3">
        <w:rPr>
          <w:rFonts w:cs="Arial"/>
          <w:bCs/>
          <w:sz w:val="20"/>
          <w:szCs w:val="18"/>
        </w:rPr>
        <w:t>2380</w:t>
      </w:r>
      <w:r w:rsidR="00D13C6C" w:rsidRPr="00517DE9">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4C77C9" w:rsidRPr="00517DE9">
        <w:rPr>
          <w:rFonts w:cs="Arial"/>
          <w:bCs/>
          <w:sz w:val="20"/>
          <w:szCs w:val="18"/>
        </w:rPr>
        <w:t>, an in</w:t>
      </w:r>
      <w:r w:rsidR="003F5F28" w:rsidRPr="00517DE9">
        <w:rPr>
          <w:rFonts w:cs="Arial"/>
          <w:bCs/>
          <w:sz w:val="20"/>
          <w:szCs w:val="18"/>
        </w:rPr>
        <w:t xml:space="preserve">crease of </w:t>
      </w:r>
      <w:r w:rsidR="003A53A3">
        <w:rPr>
          <w:rFonts w:cs="Arial"/>
          <w:bCs/>
          <w:sz w:val="20"/>
          <w:szCs w:val="18"/>
        </w:rPr>
        <w:t>16.7</w:t>
      </w:r>
      <w:r w:rsidR="00685363" w:rsidRPr="00517DE9">
        <w:rPr>
          <w:rFonts w:cs="Arial"/>
          <w:bCs/>
          <w:sz w:val="20"/>
          <w:szCs w:val="18"/>
        </w:rPr>
        <w:t>% (</w:t>
      </w:r>
      <w:r w:rsidR="003A53A3">
        <w:rPr>
          <w:rFonts w:cs="Arial"/>
          <w:bCs/>
          <w:sz w:val="20"/>
          <w:szCs w:val="18"/>
        </w:rPr>
        <w:t>341</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3A53A3">
        <w:rPr>
          <w:rFonts w:cs="Arial"/>
          <w:bCs/>
          <w:sz w:val="20"/>
          <w:szCs w:val="18"/>
        </w:rPr>
        <w:t>December</w:t>
      </w:r>
      <w:r w:rsidR="006A5B7A" w:rsidRPr="00D71826">
        <w:rPr>
          <w:rFonts w:cs="Arial"/>
          <w:bCs/>
          <w:sz w:val="20"/>
          <w:szCs w:val="18"/>
        </w:rPr>
        <w:t xml:space="preserve"> </w:t>
      </w:r>
      <w:r w:rsidR="004C77C9" w:rsidRPr="00D71826">
        <w:rPr>
          <w:rFonts w:cs="Arial"/>
          <w:bCs/>
          <w:sz w:val="20"/>
          <w:szCs w:val="18"/>
        </w:rPr>
        <w:t>2018</w:t>
      </w:r>
      <w:r w:rsidR="00453C18" w:rsidRPr="00D71826">
        <w:rPr>
          <w:rFonts w:cs="Arial"/>
          <w:bCs/>
          <w:sz w:val="20"/>
          <w:szCs w:val="18"/>
        </w:rPr>
        <w:t xml:space="preserve">, there were </w:t>
      </w:r>
      <w:r w:rsidR="003A53A3">
        <w:rPr>
          <w:rFonts w:cs="Arial"/>
          <w:bCs/>
          <w:sz w:val="20"/>
          <w:szCs w:val="18"/>
        </w:rPr>
        <w:t>1001</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xml:space="preserve">, a decrease of </w:t>
      </w:r>
      <w:r w:rsidR="003A53A3">
        <w:rPr>
          <w:rFonts w:cs="Arial"/>
          <w:bCs/>
          <w:sz w:val="20"/>
          <w:szCs w:val="18"/>
        </w:rPr>
        <w:t>6.2</w:t>
      </w:r>
      <w:r w:rsidR="00EE3353" w:rsidRPr="00D71826">
        <w:rPr>
          <w:rFonts w:cs="Arial"/>
          <w:bCs/>
          <w:sz w:val="20"/>
          <w:szCs w:val="18"/>
        </w:rPr>
        <w:t>% (</w:t>
      </w:r>
      <w:r w:rsidR="003A53A3">
        <w:rPr>
          <w:rFonts w:cs="Arial"/>
          <w:bCs/>
          <w:sz w:val="20"/>
          <w:szCs w:val="18"/>
        </w:rPr>
        <w:t>66</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3A53A3">
        <w:rPr>
          <w:rFonts w:cs="Arial"/>
          <w:bCs/>
          <w:sz w:val="20"/>
          <w:szCs w:val="18"/>
        </w:rPr>
        <w:t>1 December</w:t>
      </w:r>
      <w:r w:rsidR="002D4E74" w:rsidRPr="00D71826">
        <w:rPr>
          <w:rFonts w:cs="Arial"/>
          <w:bCs/>
          <w:sz w:val="20"/>
          <w:szCs w:val="18"/>
        </w:rPr>
        <w:t xml:space="preserve"> 2018</w:t>
      </w:r>
      <w:r w:rsidRPr="00D71826">
        <w:rPr>
          <w:rFonts w:cs="Arial"/>
          <w:bCs/>
          <w:sz w:val="20"/>
          <w:szCs w:val="18"/>
        </w:rPr>
        <w:t xml:space="preserve">, there were </w:t>
      </w:r>
      <w:r w:rsidR="003A53A3">
        <w:rPr>
          <w:rFonts w:cs="Arial"/>
          <w:bCs/>
          <w:sz w:val="20"/>
          <w:szCs w:val="18"/>
        </w:rPr>
        <w:t>3239</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6C40D4">
        <w:rPr>
          <w:rFonts w:cs="Arial"/>
        </w:rPr>
        <w:t>January 2019</w:t>
      </w:r>
      <w:r w:rsidR="002D4E74" w:rsidRPr="00D71826">
        <w:rPr>
          <w:rFonts w:cs="Arial"/>
        </w:rPr>
        <w:t>)</w:t>
      </w:r>
      <w:r w:rsidR="009C070B">
        <w:rPr>
          <w:rFonts w:cs="Arial"/>
          <w:sz w:val="22"/>
          <w:vertAlign w:val="superscript"/>
        </w:rPr>
        <w:t>2</w:t>
      </w:r>
    </w:p>
    <w:p w:rsidR="00662002" w:rsidRPr="00D71826" w:rsidRDefault="006C40D4" w:rsidP="00662002">
      <w:pPr>
        <w:spacing w:before="120" w:after="120"/>
        <w:rPr>
          <w:rFonts w:cs="Arial"/>
          <w:bCs/>
          <w:sz w:val="20"/>
        </w:rPr>
      </w:pPr>
      <w:r w:rsidRPr="006C40D4">
        <w:rPr>
          <w:noProof/>
        </w:rPr>
        <w:drawing>
          <wp:inline distT="0" distB="0" distL="0" distR="0">
            <wp:extent cx="3077845" cy="1465640"/>
            <wp:effectExtent l="0" t="0" r="8255" b="1270"/>
            <wp:docPr id="16" name="Picture 16" descr="This table illustrates the Northern Territory's monthly internet job vacancies within eight occupations.  &#10;&#10;Row one are the headings: occupation; monthly change; and number of vacancies.  &#10;&#10;Row two indicates the Technicians and trade workers increased by 2.4 per cent to 112 vacancies.   &#10;&#10;Row three indicates the Clerical and administrative workers occupation increased by 2.2 per cent to 185 vacancies.   &#10;&#10;Row four indicates the professionals occupation increased by 2.1 per cent to 514 vacancies.   &#10;&#10;Row five indicates the Community and personal service workers occupation increased by 0.6 per cent to 120 vacancies.   &#10;&#10;Row six indicates the Managers occupation increased by 0.5 per cent to 328 vacancies.   &#10;&#10;Row seven indicates the Sales workers occupation increased by 0.5 per cent to 130 vacancies.   &#10;&#10;Row eight indicates the Machinery operators and drivers occupation decreased by 0 per cent to 231 vacancies.   &#10;&#10;Row nine indicates the Labourers occupation decreased by 0.01 per cent to 414 vacancies.   &#10;&#10;Row ten indicates the total occupations increased by 0.9 per cent to 1924 vacancies.  &#10;" title="Internet Job Vacancies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6C40D4">
        <w:rPr>
          <w:rFonts w:cs="Arial"/>
          <w:bCs/>
          <w:sz w:val="20"/>
          <w:szCs w:val="18"/>
        </w:rPr>
        <w:t>January 2019</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07D33">
        <w:rPr>
          <w:rFonts w:cs="Arial"/>
          <w:bCs/>
          <w:sz w:val="20"/>
          <w:szCs w:val="18"/>
        </w:rPr>
        <w:t>in</w:t>
      </w:r>
      <w:r w:rsidR="00390CC3" w:rsidRPr="0072400E">
        <w:rPr>
          <w:rFonts w:cs="Arial"/>
          <w:bCs/>
          <w:sz w:val="20"/>
          <w:szCs w:val="18"/>
        </w:rPr>
        <w:t xml:space="preserve">creased by </w:t>
      </w:r>
      <w:r w:rsidR="006C40D4">
        <w:rPr>
          <w:rFonts w:cs="Arial"/>
          <w:bCs/>
          <w:sz w:val="20"/>
          <w:szCs w:val="18"/>
        </w:rPr>
        <w:t>0.9</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445021" w:rsidRPr="0072400E">
        <w:rPr>
          <w:rFonts w:cs="Arial"/>
          <w:bCs/>
          <w:sz w:val="20"/>
          <w:szCs w:val="18"/>
        </w:rPr>
        <w:t xml:space="preserve">, </w:t>
      </w:r>
      <w:r w:rsidR="000520EA" w:rsidRPr="0072400E">
        <w:rPr>
          <w:rFonts w:cs="Arial"/>
          <w:bCs/>
          <w:sz w:val="20"/>
          <w:szCs w:val="18"/>
        </w:rPr>
        <w:t xml:space="preserve">with </w:t>
      </w:r>
      <w:r w:rsidR="00BA31D8">
        <w:rPr>
          <w:rFonts w:cs="Arial"/>
          <w:bCs/>
          <w:sz w:val="20"/>
          <w:szCs w:val="18"/>
        </w:rPr>
        <w:t>all</w:t>
      </w:r>
      <w:r w:rsidR="00003A48">
        <w:rPr>
          <w:rFonts w:cs="Arial"/>
          <w:bCs/>
          <w:sz w:val="20"/>
          <w:szCs w:val="18"/>
        </w:rPr>
        <w:t xml:space="preserve"> occupation groups in</w:t>
      </w:r>
      <w:r w:rsidR="00D25CCD" w:rsidRPr="0072400E">
        <w:rPr>
          <w:rFonts w:cs="Arial"/>
          <w:bCs/>
          <w:sz w:val="20"/>
          <w:szCs w:val="18"/>
        </w:rPr>
        <w:t>creasing</w:t>
      </w:r>
      <w:r w:rsidR="006C40D4">
        <w:rPr>
          <w:rFonts w:cs="Arial"/>
          <w:bCs/>
          <w:sz w:val="20"/>
          <w:szCs w:val="18"/>
        </w:rPr>
        <w:t>, except for Managers and Clerical and administrative workers</w:t>
      </w:r>
      <w:r w:rsidR="00C51652">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6C40D4" w:rsidRPr="006C40D4">
        <w:rPr>
          <w:rFonts w:cs="Arial"/>
          <w:bCs/>
          <w:sz w:val="20"/>
          <w:szCs w:val="18"/>
        </w:rPr>
        <w:t>January 2019</w:t>
      </w:r>
      <w:r w:rsidRPr="006C40D4">
        <w:rPr>
          <w:rFonts w:cs="Arial"/>
          <w:bCs/>
          <w:sz w:val="20"/>
          <w:szCs w:val="18"/>
        </w:rPr>
        <w:t xml:space="preserve">, internet job vacancies for </w:t>
      </w:r>
      <w:r w:rsidR="006C40D4" w:rsidRPr="006C40D4">
        <w:rPr>
          <w:rFonts w:cs="Arial"/>
          <w:bCs/>
          <w:sz w:val="20"/>
          <w:szCs w:val="18"/>
        </w:rPr>
        <w:t xml:space="preserve">Machinery operators and drivers </w:t>
      </w:r>
      <w:r w:rsidRPr="006C40D4">
        <w:rPr>
          <w:rFonts w:cs="Arial"/>
          <w:bCs/>
          <w:sz w:val="20"/>
          <w:szCs w:val="18"/>
        </w:rPr>
        <w:t xml:space="preserve">reported the largest monthly </w:t>
      </w:r>
      <w:r w:rsidR="00003A48" w:rsidRPr="006C40D4">
        <w:rPr>
          <w:rFonts w:cs="Arial"/>
          <w:bCs/>
          <w:sz w:val="20"/>
          <w:szCs w:val="18"/>
        </w:rPr>
        <w:t>in</w:t>
      </w:r>
      <w:r w:rsidR="00DC55C2" w:rsidRPr="006C40D4">
        <w:rPr>
          <w:rFonts w:cs="Arial"/>
          <w:bCs/>
          <w:sz w:val="20"/>
          <w:szCs w:val="18"/>
        </w:rPr>
        <w:t>crease (</w:t>
      </w:r>
      <w:r w:rsidR="006C40D4" w:rsidRPr="006C40D4">
        <w:rPr>
          <w:rFonts w:cs="Arial"/>
          <w:bCs/>
          <w:sz w:val="20"/>
          <w:szCs w:val="18"/>
        </w:rPr>
        <w:t>2.4</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6C40D4" w:rsidRPr="006C40D4">
        <w:rPr>
          <w:rFonts w:cs="Arial"/>
          <w:bCs/>
          <w:sz w:val="20"/>
          <w:szCs w:val="18"/>
        </w:rPr>
        <w:t>Community and personal service workers</w:t>
      </w:r>
      <w:r w:rsidR="00DC55C2" w:rsidRPr="006C40D4">
        <w:rPr>
          <w:rFonts w:cs="Arial"/>
          <w:bCs/>
          <w:sz w:val="20"/>
          <w:szCs w:val="18"/>
        </w:rPr>
        <w:t xml:space="preserve"> (</w:t>
      </w:r>
      <w:r w:rsidR="006C40D4" w:rsidRPr="006C40D4">
        <w:rPr>
          <w:rFonts w:cs="Arial"/>
          <w:bCs/>
          <w:sz w:val="20"/>
          <w:szCs w:val="18"/>
        </w:rPr>
        <w:t>2.2</w:t>
      </w:r>
      <w:r w:rsidR="00352E4B" w:rsidRPr="006C40D4">
        <w:rPr>
          <w:rFonts w:cs="Arial"/>
          <w:bCs/>
          <w:sz w:val="20"/>
          <w:szCs w:val="18"/>
        </w:rPr>
        <w:t>%)</w:t>
      </w:r>
      <w:r w:rsidR="007823DF" w:rsidRPr="006C40D4">
        <w:rPr>
          <w:rFonts w:cs="Arial"/>
          <w:bCs/>
          <w:sz w:val="20"/>
          <w:szCs w:val="18"/>
        </w:rPr>
        <w:t>, and</w:t>
      </w:r>
      <w:r w:rsidR="00FA0C6F">
        <w:rPr>
          <w:rFonts w:cs="Arial"/>
          <w:bCs/>
          <w:sz w:val="20"/>
          <w:szCs w:val="18"/>
        </w:rPr>
        <w:t xml:space="preserve"> then </w:t>
      </w:r>
      <w:r w:rsidR="006C40D4">
        <w:rPr>
          <w:rFonts w:cs="Arial"/>
          <w:bCs/>
          <w:sz w:val="20"/>
          <w:szCs w:val="18"/>
        </w:rPr>
        <w:t>Professionals (2.1%).</w:t>
      </w:r>
    </w:p>
    <w:p w:rsidR="009C070B" w:rsidRPr="009C070B" w:rsidRDefault="009C070B" w:rsidP="009C070B">
      <w:pPr>
        <w:spacing w:before="60" w:after="120"/>
        <w:jc w:val="both"/>
        <w:rPr>
          <w:rFonts w:cs="Arial"/>
          <w:bCs/>
          <w:sz w:val="20"/>
          <w:szCs w:val="18"/>
        </w:rPr>
      </w:pPr>
    </w:p>
    <w:p w:rsidR="00390CC3" w:rsidRPr="00FA0C6F" w:rsidRDefault="0027762B" w:rsidP="002146FA">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FA0C6F">
        <w:rPr>
          <w:rFonts w:cs="Arial"/>
          <w:bCs/>
          <w:sz w:val="20"/>
          <w:szCs w:val="18"/>
        </w:rPr>
        <w:t xml:space="preserve">almost </w:t>
      </w:r>
      <w:r w:rsidR="003E4A35">
        <w:rPr>
          <w:rFonts w:cs="Arial"/>
          <w:bCs/>
          <w:sz w:val="20"/>
          <w:szCs w:val="18"/>
        </w:rPr>
        <w:t>half of the</w:t>
      </w:r>
      <w:r w:rsidR="00406A19">
        <w:rPr>
          <w:rFonts w:cs="Arial"/>
          <w:bCs/>
          <w:sz w:val="20"/>
          <w:szCs w:val="18"/>
        </w:rPr>
        <w:t xml:space="preserve"> </w:t>
      </w:r>
      <w:r w:rsidR="00FD747A" w:rsidRPr="00D71826">
        <w:rPr>
          <w:rFonts w:cs="Arial"/>
          <w:bCs/>
          <w:sz w:val="20"/>
          <w:szCs w:val="18"/>
        </w:rPr>
        <w:t xml:space="preserve">occupation groups recorded </w:t>
      </w:r>
      <w:r w:rsidR="00051DC3">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0520EA">
        <w:rPr>
          <w:rFonts w:cs="Arial"/>
          <w:bCs/>
          <w:sz w:val="20"/>
          <w:szCs w:val="18"/>
        </w:rPr>
        <w:t>.</w:t>
      </w:r>
      <w:r w:rsidR="00D62B5A">
        <w:rPr>
          <w:rFonts w:cs="Arial"/>
          <w:bCs/>
          <w:sz w:val="20"/>
          <w:szCs w:val="18"/>
        </w:rPr>
        <w:t xml:space="preserve"> </w:t>
      </w:r>
      <w:r w:rsidR="003E4A35">
        <w:rPr>
          <w:rFonts w:cs="Arial"/>
          <w:bCs/>
          <w:sz w:val="20"/>
          <w:szCs w:val="18"/>
        </w:rPr>
        <w:t>Machinery operators and drivers</w:t>
      </w:r>
      <w:r w:rsidR="00D42B3C">
        <w:rPr>
          <w:rFonts w:cs="Arial"/>
          <w:bCs/>
          <w:sz w:val="20"/>
          <w:szCs w:val="18"/>
        </w:rPr>
        <w:t xml:space="preserve"> </w:t>
      </w:r>
      <w:r w:rsidR="00051DC3">
        <w:rPr>
          <w:rFonts w:cs="Arial"/>
          <w:bCs/>
          <w:sz w:val="20"/>
          <w:szCs w:val="18"/>
        </w:rPr>
        <w:t>reported the largest de</w:t>
      </w:r>
      <w:r w:rsidRPr="00D71826">
        <w:rPr>
          <w:rFonts w:cs="Arial"/>
          <w:bCs/>
          <w:sz w:val="20"/>
          <w:szCs w:val="18"/>
        </w:rPr>
        <w:t xml:space="preserve">crease </w:t>
      </w:r>
      <w:r w:rsidR="00390CC3" w:rsidRPr="00D71826">
        <w:rPr>
          <w:rFonts w:cs="Arial"/>
          <w:bCs/>
          <w:sz w:val="20"/>
          <w:szCs w:val="18"/>
        </w:rPr>
        <w:t>(</w:t>
      </w:r>
      <w:r w:rsidR="00F1297C">
        <w:rPr>
          <w:rFonts w:cs="Arial"/>
          <w:bCs/>
          <w:sz w:val="20"/>
          <w:szCs w:val="18"/>
        </w:rPr>
        <w:t>-</w:t>
      </w:r>
      <w:r w:rsidR="003E4A35">
        <w:rPr>
          <w:rFonts w:cs="Arial"/>
          <w:bCs/>
          <w:sz w:val="20"/>
          <w:szCs w:val="18"/>
        </w:rPr>
        <w:t>16.9</w:t>
      </w:r>
      <w:r w:rsidR="00390CC3" w:rsidRPr="00D71826">
        <w:rPr>
          <w:rFonts w:cs="Arial"/>
          <w:bCs/>
          <w:sz w:val="20"/>
          <w:szCs w:val="18"/>
        </w:rPr>
        <w:t xml:space="preserve">%), followed by </w:t>
      </w:r>
      <w:r w:rsidR="003E4A35">
        <w:rPr>
          <w:rFonts w:cs="Arial"/>
          <w:bCs/>
          <w:sz w:val="20"/>
          <w:szCs w:val="18"/>
        </w:rPr>
        <w:t>Managers</w:t>
      </w:r>
      <w:r w:rsidR="002146FA">
        <w:rPr>
          <w:rFonts w:cs="Arial"/>
          <w:bCs/>
          <w:sz w:val="20"/>
          <w:szCs w:val="18"/>
        </w:rPr>
        <w:t xml:space="preserve"> (</w:t>
      </w:r>
      <w:r w:rsidR="00F1297C">
        <w:rPr>
          <w:rFonts w:cs="Arial"/>
          <w:bCs/>
          <w:sz w:val="20"/>
          <w:szCs w:val="18"/>
        </w:rPr>
        <w:t>-</w:t>
      </w:r>
      <w:r w:rsidR="003E4A35">
        <w:rPr>
          <w:rFonts w:cs="Arial"/>
          <w:bCs/>
          <w:sz w:val="20"/>
          <w:szCs w:val="18"/>
        </w:rPr>
        <w:t>13.4</w:t>
      </w:r>
      <w:r w:rsidR="002146FA">
        <w:rPr>
          <w:rFonts w:cs="Arial"/>
          <w:bCs/>
          <w:sz w:val="20"/>
          <w:szCs w:val="18"/>
        </w:rPr>
        <w:t xml:space="preserve">%), and then </w:t>
      </w:r>
      <w:r w:rsidR="003E4A35">
        <w:rPr>
          <w:rFonts w:cs="Arial"/>
          <w:bCs/>
          <w:sz w:val="20"/>
          <w:szCs w:val="18"/>
        </w:rPr>
        <w:t>Clerical and administrative workers</w:t>
      </w:r>
      <w:r w:rsidR="002146FA">
        <w:rPr>
          <w:rFonts w:cs="Arial"/>
          <w:bCs/>
          <w:sz w:val="20"/>
          <w:szCs w:val="18"/>
        </w:rPr>
        <w:t xml:space="preserve"> (</w:t>
      </w:r>
      <w:r w:rsidR="00F1297C">
        <w:rPr>
          <w:rFonts w:cs="Arial"/>
          <w:bCs/>
          <w:sz w:val="20"/>
          <w:szCs w:val="18"/>
        </w:rPr>
        <w:t>-</w:t>
      </w:r>
      <w:r w:rsidR="003E4A35">
        <w:rPr>
          <w:rFonts w:cs="Arial"/>
          <w:bCs/>
          <w:sz w:val="20"/>
          <w:szCs w:val="18"/>
        </w:rPr>
        <w:t>16.9</w:t>
      </w:r>
      <w:r w:rsidR="00632803">
        <w:rPr>
          <w:rFonts w:cs="Arial"/>
          <w:bCs/>
          <w:sz w:val="20"/>
          <w:szCs w:val="18"/>
        </w:rPr>
        <w:t>%).</w:t>
      </w:r>
      <w:r w:rsidR="009C070B">
        <w:rPr>
          <w:rFonts w:cs="Arial"/>
          <w:vertAlign w:val="superscript"/>
        </w:rPr>
        <w:t>3</w:t>
      </w:r>
      <w:r w:rsidR="00FA0C6F">
        <w:rPr>
          <w:rFonts w:cs="Arial"/>
          <w:vertAlign w:val="superscript"/>
        </w:rPr>
        <w:t xml:space="preserve"> </w:t>
      </w:r>
      <w:r w:rsidR="00FA0C6F" w:rsidRPr="00FA0C6F">
        <w:rPr>
          <w:rFonts w:cs="Arial"/>
          <w:sz w:val="20"/>
        </w:rPr>
        <w:t>L</w:t>
      </w:r>
      <w:r w:rsidR="00FA0C6F">
        <w:rPr>
          <w:rFonts w:cs="Arial"/>
          <w:sz w:val="20"/>
        </w:rPr>
        <w:t xml:space="preserve">abourers and Professionals remained unchanged. </w:t>
      </w:r>
    </w:p>
    <w:p w:rsidR="0057438F" w:rsidRPr="001B3C2F" w:rsidRDefault="00AC2CBA" w:rsidP="001B3C2F">
      <w:pPr>
        <w:pStyle w:val="ListParagraph"/>
        <w:numPr>
          <w:ilvl w:val="0"/>
          <w:numId w:val="12"/>
        </w:numPr>
        <w:spacing w:before="60" w:after="120"/>
        <w:ind w:left="357" w:hanging="357"/>
        <w:contextualSpacing w:val="0"/>
        <w:jc w:val="both"/>
        <w:rPr>
          <w:rFonts w:cs="Arial"/>
          <w:bCs/>
          <w:sz w:val="20"/>
          <w:szCs w:val="18"/>
        </w:rPr>
      </w:pPr>
      <w:r w:rsidRPr="00D71826">
        <w:rPr>
          <w:rFonts w:cs="Arial"/>
          <w:bCs/>
          <w:sz w:val="20"/>
          <w:szCs w:val="18"/>
        </w:rPr>
        <w:t xml:space="preserve">In the Darwin region, </w:t>
      </w:r>
      <w:r w:rsidR="002146FA">
        <w:rPr>
          <w:rFonts w:cs="Arial"/>
          <w:bCs/>
          <w:sz w:val="20"/>
          <w:szCs w:val="18"/>
        </w:rPr>
        <w:t>all</w:t>
      </w:r>
      <w:r w:rsidR="00886A74">
        <w:rPr>
          <w:rFonts w:cs="Arial"/>
          <w:bCs/>
          <w:sz w:val="20"/>
          <w:szCs w:val="18"/>
        </w:rPr>
        <w:t xml:space="preserve">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D94197">
        <w:rPr>
          <w:rFonts w:cs="Arial"/>
          <w:bCs/>
          <w:sz w:val="20"/>
          <w:szCs w:val="18"/>
        </w:rPr>
        <w:t>, except for Community and personal service workers, which remained unchanged.</w:t>
      </w:r>
      <w:r w:rsidR="00886A74">
        <w:rPr>
          <w:rFonts w:cs="Arial"/>
          <w:bCs/>
          <w:sz w:val="20"/>
          <w:szCs w:val="18"/>
        </w:rPr>
        <w:t xml:space="preserve"> </w:t>
      </w:r>
      <w:r w:rsidR="003E4A35">
        <w:rPr>
          <w:rFonts w:cs="Arial"/>
          <w:bCs/>
          <w:sz w:val="20"/>
          <w:szCs w:val="18"/>
        </w:rPr>
        <w:t>Machinery operators and drivers</w:t>
      </w:r>
      <w:r w:rsidR="002146FA">
        <w:rPr>
          <w:rFonts w:cs="Arial"/>
          <w:bCs/>
          <w:sz w:val="20"/>
          <w:szCs w:val="18"/>
        </w:rPr>
        <w:t xml:space="preserve"> reported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D94197">
        <w:rPr>
          <w:rFonts w:cs="Arial"/>
          <w:bCs/>
          <w:sz w:val="20"/>
          <w:szCs w:val="18"/>
        </w:rPr>
        <w:br/>
      </w:r>
      <w:r w:rsidR="00A14440">
        <w:rPr>
          <w:rFonts w:cs="Arial"/>
          <w:bCs/>
          <w:sz w:val="20"/>
          <w:szCs w:val="18"/>
        </w:rPr>
        <w:t>(</w:t>
      </w:r>
      <w:r w:rsidR="003E4A35">
        <w:rPr>
          <w:rFonts w:cs="Arial"/>
          <w:bCs/>
          <w:sz w:val="20"/>
          <w:szCs w:val="18"/>
        </w:rPr>
        <w:t>-13.4</w:t>
      </w:r>
      <w:r w:rsidRPr="00D71826">
        <w:rPr>
          <w:rFonts w:cs="Arial"/>
          <w:bCs/>
          <w:sz w:val="20"/>
          <w:szCs w:val="18"/>
        </w:rPr>
        <w:t xml:space="preserve">%), followed by </w:t>
      </w:r>
      <w:r w:rsidR="003E4A35">
        <w:rPr>
          <w:rFonts w:cs="Arial"/>
          <w:bCs/>
          <w:sz w:val="20"/>
          <w:szCs w:val="18"/>
        </w:rPr>
        <w:t xml:space="preserve">Labourers </w:t>
      </w:r>
      <w:r w:rsidR="00A14440" w:rsidRPr="001B3C2F">
        <w:rPr>
          <w:rFonts w:cs="Arial"/>
          <w:bCs/>
          <w:sz w:val="20"/>
          <w:szCs w:val="18"/>
        </w:rPr>
        <w:t>(</w:t>
      </w:r>
      <w:r w:rsidR="001B3C2F">
        <w:rPr>
          <w:rFonts w:cs="Arial"/>
          <w:bCs/>
          <w:sz w:val="20"/>
          <w:szCs w:val="18"/>
        </w:rPr>
        <w:t>-9.1</w:t>
      </w:r>
      <w:r w:rsidR="000520EA" w:rsidRPr="001B3C2F">
        <w:rPr>
          <w:rFonts w:cs="Arial"/>
          <w:bCs/>
          <w:sz w:val="20"/>
          <w:szCs w:val="18"/>
        </w:rPr>
        <w:t>%</w:t>
      </w:r>
      <w:r w:rsidR="002B4748" w:rsidRPr="001B3C2F">
        <w:rPr>
          <w:rFonts w:cs="Arial"/>
          <w:bCs/>
          <w:sz w:val="20"/>
          <w:szCs w:val="18"/>
        </w:rPr>
        <w:t>)</w:t>
      </w:r>
      <w:r w:rsidR="000520EA" w:rsidRPr="001B3C2F">
        <w:rPr>
          <w:rFonts w:cs="Arial"/>
          <w:bCs/>
          <w:sz w:val="20"/>
          <w:szCs w:val="18"/>
        </w:rPr>
        <w:t>, then</w:t>
      </w:r>
      <w:r w:rsidR="00A14440" w:rsidRPr="001B3C2F">
        <w:rPr>
          <w:rFonts w:cs="Arial"/>
          <w:bCs/>
          <w:sz w:val="20"/>
          <w:szCs w:val="18"/>
        </w:rPr>
        <w:t xml:space="preserve"> </w:t>
      </w:r>
      <w:r w:rsidR="001B3C2F">
        <w:rPr>
          <w:rFonts w:cs="Arial"/>
          <w:bCs/>
          <w:sz w:val="20"/>
          <w:szCs w:val="18"/>
        </w:rPr>
        <w:t>Sales workers</w:t>
      </w:r>
      <w:r w:rsidR="00A14440" w:rsidRPr="001B3C2F">
        <w:rPr>
          <w:rFonts w:cs="Arial"/>
          <w:bCs/>
          <w:sz w:val="20"/>
          <w:szCs w:val="18"/>
        </w:rPr>
        <w:t xml:space="preserve"> (</w:t>
      </w:r>
      <w:r w:rsidR="001B3C2F">
        <w:rPr>
          <w:rFonts w:cs="Arial"/>
          <w:bCs/>
          <w:sz w:val="20"/>
          <w:szCs w:val="18"/>
        </w:rPr>
        <w:t>-4.1</w:t>
      </w:r>
      <w:r w:rsidR="000520EA" w:rsidRPr="001B3C2F">
        <w:rPr>
          <w:rFonts w:cs="Arial"/>
          <w:bCs/>
          <w:sz w:val="20"/>
          <w:szCs w:val="18"/>
        </w:rPr>
        <w:t>%)</w:t>
      </w:r>
      <w:r w:rsidR="00FA0440" w:rsidRPr="001B3C2F">
        <w:rPr>
          <w:rFonts w:cs="Arial"/>
          <w:bCs/>
          <w:sz w:val="20"/>
          <w:szCs w:val="18"/>
        </w:rPr>
        <w:t>.</w:t>
      </w:r>
      <w:r w:rsidR="0089324F" w:rsidRPr="001B3C2F">
        <w:rPr>
          <w:rFonts w:cs="Arial"/>
          <w:bCs/>
          <w:sz w:val="20"/>
          <w:szCs w:val="18"/>
        </w:rPr>
        <w:t xml:space="preserve"> </w:t>
      </w:r>
      <w:r w:rsidR="009C070B" w:rsidRPr="001B3C2F">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DB1793" w:rsidP="002B4748">
      <w:pPr>
        <w:spacing w:before="360" w:after="0"/>
        <w:rPr>
          <w:rFonts w:cs="Arial"/>
          <w:b/>
          <w:sz w:val="20"/>
        </w:rPr>
      </w:pPr>
      <w:r w:rsidRPr="00DB1793">
        <w:rPr>
          <w:noProof/>
        </w:rPr>
        <w:drawing>
          <wp:inline distT="0" distB="0" distL="0" distR="0">
            <wp:extent cx="3077845" cy="2130609"/>
            <wp:effectExtent l="0" t="0" r="8255" b="3175"/>
            <wp:docPr id="6" name="Picture 6" descr="This chart indicates the following increase and decrease of job vacancies in Darwin and regional NT across all occupations:&#10;Sales workers in Darwin decreased by 4.1 per cent. &#10;Sales workers in regional NT increased by 11.1 per cent. &#10;Community and Personal Service Workers in Darwin remained unchanged. &#10;Community and Personal Service Workers in regional NT increased by 16.5 per cent. &#10;Managers in Darwin decreased by 2.2 per cent. &#10;Managers in regional NT decreased by 13.4 per cent. &#10;Professionals in Darwin decreased by 0.4 per cent. &#10;Professionals in regional NT remained unchanged. &#10;Technicians and Trade Workers in Darwin decreased by 0.5 per cent. &#10;Technicians and Trade Workers in regional NT increased by 4.1 per cent. &#10;Clerical and Administrative Workers in Darwin decreased by 1.6 per cent. &#10;Clerical and Administrative Workers in regional NT decreased by 4.3 per cent.&#10;Labourers in Darwin decreased by 9.1 per cent.  &#10;Labourers in regional NT remained unchanged.  &#10;Machinery operators and drivers in Darwin decreased by 13.4 per cent. &#10;Machinery operators and drivers in regional NT decreased by 16.9 per cent.&#10;" title="Chart 2: Northern Territory Job Vacancies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0609"/>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22313A"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p w:rsidR="009C070B" w:rsidRPr="00D71826" w:rsidRDefault="009C070B" w:rsidP="00A0643E">
      <w:pPr>
        <w:spacing w:before="60" w:after="0"/>
        <w:rPr>
          <w:rFonts w:cs="Arial"/>
          <w:i/>
          <w:sz w:val="16"/>
        </w:rPr>
      </w:pPr>
    </w:p>
    <w:sectPr w:rsidR="009C070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EF77EE"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EF77EE">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EF77EE">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EF77EE">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EF77EE">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9223F9">
      <w:rPr>
        <w:color w:val="E87722"/>
      </w:rPr>
      <w:t>Labour market brief - January 2019</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DF2DF8" w:rsidP="00DF014E">
        <w:pPr>
          <w:pStyle w:val="Title"/>
        </w:pPr>
        <w:r>
          <w:t xml:space="preserve">Labour </w:t>
        </w:r>
        <w:r w:rsidR="009223F9">
          <w:t>m</w:t>
        </w:r>
        <w:r>
          <w:t xml:space="preserve">arket </w:t>
        </w:r>
        <w:r w:rsidR="009223F9">
          <w:t>brief -</w:t>
        </w:r>
        <w:r>
          <w:t xml:space="preserve"> January 2019</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2517"/>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51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29D7"/>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23F9"/>
    <w:rsid w:val="00923AEC"/>
    <w:rsid w:val="00923DF8"/>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469C"/>
    <w:rsid w:val="009C4834"/>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7ED1"/>
    <w:rsid w:val="00A5018A"/>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793"/>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2DF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7EE"/>
    <w:rsid w:val="00EF7AF3"/>
    <w:rsid w:val="00EF7C58"/>
    <w:rsid w:val="00F02B08"/>
    <w:rsid w:val="00F031E3"/>
    <w:rsid w:val="00F03E6B"/>
    <w:rsid w:val="00F04189"/>
    <w:rsid w:val="00F0447B"/>
    <w:rsid w:val="00F04C51"/>
    <w:rsid w:val="00F04D62"/>
    <w:rsid w:val="00F061FD"/>
    <w:rsid w:val="00F06A73"/>
    <w:rsid w:val="00F10EC2"/>
    <w:rsid w:val="00F112DE"/>
    <w:rsid w:val="00F1297C"/>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0EF1-8750-4121-A577-7DFEB433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118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Labour market brief - January 2019</vt:lpstr>
    </vt:vector>
  </TitlesOfParts>
  <Company>Northern Territory Government</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January 2019</dc:title>
  <dc:creator>Northern Territory Government</dc:creator>
  <cp:lastModifiedBy>Marlene Woods</cp:lastModifiedBy>
  <cp:revision>7</cp:revision>
  <cp:lastPrinted>2019-02-22T07:20:00Z</cp:lastPrinted>
  <dcterms:created xsi:type="dcterms:W3CDTF">2019-02-14T05:59:00Z</dcterms:created>
  <dcterms:modified xsi:type="dcterms:W3CDTF">2019-02-25T05:16:00Z</dcterms:modified>
</cp:coreProperties>
</file>